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AC.2024.0123 vom 8. November 2024</w:t>
      </w:r>
    </w:p>
    <w:p>
      <w:r>
        <w:t>VD Tribunal cantonal, 2024-11-08, FR</w:t>
      </w:r>
    </w:p>
    <w:p>
      <w:r>
        <w:rPr>
          <w:b/>
        </w:rPr>
        <w:t xml:space="preserve">Quelle: </w:t>
      </w:r>
      <w:r>
        <w:t>https://mcp.opencaselaw.ch/entscheid/vd_omni_AC.2024.0123</w:t>
      </w:r>
    </w:p>
    <w:p>
      <w:r>
        <w:t>FR: VD_OMNI AC.2024.0123 du 8 novembre 2024</w:t>
      </w:r>
    </w:p>
    <w:p>
      <w:r>
        <w:t>IT: VD_OMNI AC.2024.0123 del 8 novembre 2024</w:t>
      </w:r>
    </w:p>
    <w:p>
      <w:pPr>
        <w:pStyle w:val="Heading2"/>
      </w:pPr>
      <w:r>
        <w:t>Regeste</w:t>
      </w:r>
    </w:p>
    <w:p>
      <w:r>
        <w:t>A.________/Municipalité de Préverenges | Rejet du recours contre la décision de la municipalité refusant d'octroyer un permis de construire pour l'agrandissement du premier étage d'une villa existante. Le projet entraîne une aggravation de l'atteinte à la règlementation communale relative à la distance à la limite et aux dimensions des bâtiments.</w:t>
      </w:r>
    </w:p>
    <w:p>
      <w:pPr>
        <w:pStyle w:val="Heading2"/>
      </w:pPr>
      <w:r>
        <w:t>Erwägungen</w:t>
      </w:r>
    </w:p>
    <w:p>
      <w:r>
        <w:rPr>
          <w:b/>
        </w:rPr>
        <w:t>E. 1</w:t>
      </w:r>
    </w:p>
    <w:p>
      <w:r>
        <w:t>La décision par laquelle une municipalité refuse un permis de construire peut faire l'objet d'un recours de droit administratif au Tribunal cantonal au sens des art. 92 ss de la loi du 28 octobre 2008 sur la procédure administrative (LPA-VD; BLV 173.36). Déposé en temps utile (art. 95 LPA-VD), le recours satisfait en outre aux autres conditions formelles de recevabilité (art. 79 LPA-VD, par renvoi de l'art. 99 LPA-VD). En tant que destinataire de la décision attaquée, qui refuse la délivrance du permis de construire requis pour l'extension de sa villa, le recourant a manifestement la qualité pour recourir (art. 75 al. 1 let. a LPA-VD, par renvoi de l’art. 99 LPA-VD), de sorte qu'il y a lieu d'entrer en matière sur le fond.</w:t>
      </w:r>
    </w:p>
    <w:p>
      <w:r>
        <w:rPr>
          <w:b/>
        </w:rPr>
        <w:t>E. 2</w:t>
      </w:r>
    </w:p>
    <w:p>
      <w:r>
        <w:t>de surface, ce qui est le cas en l’espèce, le nombre des étages est limité à un rez-de-chaussée et un étage dans les combles. Or, en l’espèce, la construction comprend déjà pour partie deux étages, le second n’ayant pas été réalisé dans des combles, au vu de la hauteur du mur d’embouchature (cf. infra consid. 3c/bb).</w:t>
      </w:r>
    </w:p>
    <w:p>
      <w:r>
        <w:rPr>
          <w:b/>
        </w:rPr>
        <w:t>E. 3</w:t>
      </w:r>
    </w:p>
    <w:p>
      <w:r>
        <w:t>Le recourant se prévaut de la garantie de la situation acquise au sens de l'art. 80 LATC. Il relève que le projet n'a suscité aucune opposition de ses voisins et que l'extension qu'il prévoit s'inscrit dans le prolongement du rez-de-chaussée déjà existant, si bien qu'aucun inconvénient pour le voisinage ne saurait être retenu. Il soutient que, même si le mur d'embouchature excède la hauteur d’un mètre, celle du bâtiment n'est pas augmentée et demeure largement en-dessous de la limite au faîte de 8 m (art. 41 al. 2 RPE). Il allègue encore que le projet d'extension répond aux critères de densification vers l'intérieur du milieu bâti conformément aux principes de développement urbanistique actuels, en se référant au PALM. a) A teneur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Il sied donc d'examiner si les travaux projetés ne contreviennent pas à l'art. 80 LATC. Il n'est pas contesté qu'ils consistent en un agrandissement. Dans ce cas, selon l'art. 80 al. 2 LATC, l'atteinte à la réglementation en vigueur ou les inconvénients qui en résultent pour le voisinage ne doivent pas être aggravés. Pour déterminer si l'on se trouve en présence d'une aggravation de l'atteinte à la réglementation en vigueur, au sens de l'art. 80 al. 2 LATC, il convient de rechercher le but que poursuit la norme transgressée (CDAP AC.2022.0116 du 21 novembre 2022; AC.2013.0211 du 22 juillet 2014 consid. 3b; AC.2009.0269 du 21 mars 2012 consid. 3). La réglementation sur les distances aux limites tend principalement à préserver un minimum de lumière, d’air et de soleil entre les constructions afin de garantir un aménagement sain et rationnel; elle a pour but d’éviter notamment que les habitants des biens-fonds contigus n’aient l’impression que la construction voisine les écrase. Elle vise également à garantir un minimum de tranquillité aux habitants (CDAP AC.2020.0264 du 17 décembre 2020 consid. 2d/aa; AC.2018.0185 du 5 août 2019 consid. 3c). Quant aux normes relatives à la hauteur des bâtiments, d'une manière générale, elles poursuivent un double but: protéger les propriétaires voisins contre des constructions trop hautes qui les priveraient de vue ou de soleil; préserver le caractère des quartiers d’habitation (CDAP AC.2009.0259 du 26 août 2010 consid. 3a). La création de volumes supplémentaires dans un espace où la construction est proscrite doit en particulier être considérée comme une aggravation de l'atteinte à la réglementation au sens de l'art. 80 al. 2 LATC (CDAP AC.2017.0222 du 19 avril 2018 c. 2c-d et jurisprudence citée). La CDAP a par ailleurs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(CDAP AC.2020.0264 du 17 décembre 2020 consid. 2d/aa; AC.2017.0043 du 28 mai 2018 consid. 6b et les références). La jurisprudence a encore précisé qu'une surélévation d'un bâtiment ne respectant pas la distance à la limite était admissible sous l'angle de l'art. 80 al. 2 LATC uniquement dans la mesure où les étages supplémentaires respectaient la distance à la limite (CDAP AC.2020.0158 du 31 mai 2021 consid. 5a/bb; AC.2011.0320 du 31 juillet 2012 consid. 2c). L’art. 80 al. 2 LATC n'exclut pas tous les inconvénients que peut entraîner pour le voisinage la transformation ou l'agrandissement d'un bâtiment non réglementaire mais prohibe seulement l'aggravation des inconvénients qui sont en relation avec l'atteinte à la réglementation (TF 1C_43/2009 du 5 mai 2009 consid. 4; CDAP AC.2022.0179 du 26 mai 2023 consid. 3d; AC.2016.0289 du 25 septembre 2017 consid. 5a/bb et les références). Par ailleurs, les inconvénients dont cette disposition vise à protéger le voisinage se définissent de la même manière que dans le cadre de l'art. 39 du règlement du 19 septembre 1986 d’application de la loi du 4 décembre 1985 sur l’aménagement du territoire et les constructions (RLATC; BLV 700.11.1) concernant les dépendances: ils doivent dépasser ce qui est supportable sans sacrifice excessif (CDAP AC.2022.0179 du 26 mai 2023 consid. 3d; AC.2013.0401 précité; AC.2010.0327 du 26 octobre 2011 consid. 2).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nuisances supportables doit donc s’apprécier en fonction des circonstances concrètes de chaque cas particulier, notamment de la situation des différents propriétaires touchés par rapport à l'ouvrage projeté et de l'intensité des nuisances qui peuvent en résulter (CDAP AC.2017.0022 du 23 mai 2017 consid. 2d/aa et les références citées). La notion d'absence d’inconvénients appréciables est un concept juridique indéterminé qui confère à la municipalité une latitude de jugement étendue, que le tribunal se doit de respecter (CDAP AC.2012.0105 du 6 septembre 2012 consid. 1 et les références). b) La règlementation communale contient les dispositions suivantes concernant, d'une part, la distance aux limites et, d'autre part, les dimensions des bâtiments en zone d'habitations individuelles et familiales B: " Art. 38 RPE - Distances La distance minimum entre chaque façade et la limite de la propriété voisine ou du domaine public, s'il n'y a pas de plan fixant la limite des constructions, est de 5 m au moins. Art. 41 RPE – Dimensions des bâtiments Les bâtiments d'habitation doivent avoir au minimum une surface de 60 m². Pour les bâtiments de 60 à 100 m² de surface, le nombre des étages est limité à un rez-de-chaussée, plus un étage dans les combles; la hauteur au faîte est limitée à 8 m. Pour les bâtiments de plus de 100 m² de surface, le nombre des étages est limité à un étage sur rez-de-chaussée; la hauteur au faîte est limitée à 10.50 m. Les combles sont habitables, en sus de ces deux étages." c) En l'espèce, le projet mis à l'enquête consiste en l’agrandissement de cette villa à son premier étage, par le prolongement de celui-ci jusqu'à la façade Sud du bâtiment. Dès lors qu'il est voué à l'habitation, il est conforme à la destination de la zone d'habitations individuelles et familiales dans laquelle il prend place et ne porte donc pas atteinte au caractère de celle-ci, ce que l'autorité intimée ne conteste pas. Il convient de déterminer si le projet litigieux entraîne une aggravation de l'atteinte à la réglementation relative à la distance aux limites des propriétés voisines et celle relative aux dimensions des bâtiments. aa) Les surfaces habitables projetées qui font l'objet de l'extension ne resteront pas confinées dans les volumes déjà existants. En effet, le projet litigieux prévoit la création d'un volume supplémentaire, destiné à l'aménagement de deux chambres, au premier étage du bâtiment existant, dans la partie Sud. Par conséquent, même si la surface du premier étage n’excédera pas celle du rez-de-chaussée, le nouveau volume de l’agrandissement ne respectera pas l’art. 38 RPE. En effet, à l’Ouest, la distance à la limite règlementaire de 5 m n'est pas respectée, dès lors que la façade de la villa se trouve à 2,91 m de celle-ci. Or, comme exposé ci-dessus, la surélévation d'un bâtiment qui ne respecte pas la distance à la limite n'est pas admissible si les étages supplémentaires prévus ne respectent pas eux-mêmes cette distance. Il en résulterait une aggravation de l'atteinte à la réglementation en vigueur. bb) La villa du recourant est composée d'un rez-de-chaussée qui occupe la totalité de la surface au sol de 76 m 2 et d'un étage supplémentaire qui s'étend approximativement sur la moitié du bâtiment au Nord. L'autorité intimée soutient que cet étage supplémentaire ne peut être qualifié de combles et qu'il est dès lors contraire au règlement communal, ce que le recourant conteste. La notion de combles a été définie dans la jurisprudence cantonale à laquelle il convient de se référer en l'absence de réglementation spécifique communale. Un étage de combles est un étage aménagé sous la toiture et entièrement inscrit à l'intérieur de la charpente couronnant l'ouvrage. Pour que l'espace sous la toiture soit qualifié de combles, la hauteur du mur d'embouchature, sur lequel la structure de la toiture prend appui, doit être inférieure à un mètre. Un logement réalisé entièrement dans la toiture est de dimensions plus réduites que s’il est réalisé dans un étage ordinaire. La limitation de la hauteur du mur d'embouchature à un mètre tend à éviter que la construction de murs trop hauts entre le niveau fini des combles et la panne sablière ne transforme pratiquement en un niveau ordinaire ce qui doit rester un étage de dimensions plus réduites (CDAP AC.2018.0069 du 30 juillet 2018 consid. 2a et les références). Selon les plans mis à l'enquête, la hauteur du mur d'embouchature du premier étage s'élève à 1,945 m. Or, cette hauteur excède la limite définie par la jurisprudence. Le premier étage ne peut donc pas être qualifié de combles. Compte tenu de la teneur du règlement communal selon lequel le nombre d'étages d'un bâtiment entre 60 à 100 m 2 de surface au sol est limité à un rez-de-chaussée et un étage dans les combles, force est de constater que l'état existant de la villa du recourant est contraire à l’art. 41 RPE et que le projet d'extension créant un volume supplémentaire à cet étage aggraverait l'atteinte à la réglementation en vigueur. cc) Comme exposé ci-dessus, les travaux envisagés sont de nature à aggraver l'atteinte à la règlementation en vigueur sur les distances et sur les dimensions des bâtiments. L'art. 80 al. 2 LATC prévoit que " les travaux ne doivent pas aggraver l'atteinte à la règlementation en vigueur ou les inconvénients qui en résultent pour le voisinage ". Ainsi, la réalisation de l'une de ces hypothèses permet à elle seule de retenir que l’agrandissement prévu est contraire à l’art. 80 al. 2 LATC. Pour cette raison, il n'apparaît pas nécessaire d'examiner l'éventuelle aggravation des inconvénients pour le voisinage. A cet égard, la Cour se contente de relever que l'absence d'opposition des voisins dont se prévaut le recourant ne permet pas d'exclure tout inconvénient qui leur serait causé par les travaux envisagés. A ce sujet, le Tribunal administratif avait déjà relevé qu'il importe peu que les voisins aient donné leur accord, puisque les travaux contraires à la réglementation en vigueur n'en doivent pas moins demeurer prohibés dans leur principe pour des motifs évidents d'ordre public et de sécurité du droit (AC.1995.0258, consid. 3 in fine , p. 7). L’argument tiré de l'objectif de densification découlant du PALM est sans consistance. Le seul fait que, selon la planification directrice ou des instruments s’y apparentant matériellement, certaines portions de territoire doivent être densifiées en priorité, ne permet pas de faire obstacle à l’application de règles claires de police des constructions, figurant dans la loi ou dans des réglementations communales. Dans ces circonstances, l'appréciation de l'autorité intimée selon laquelle les travaux litigieux entraînent une aggravation de l’atteinte à la réglementation en vigueur, soit aux art. 38 et 41 RPE, ne prête pas le flanc à la critique. Par conséquent, le grief du recourant est rejeté, la municipalité ayant fait une application correcte de l’art. 80 al. 2 LATC. dd) Comme l’a relevé à juste titre la municipalité dans sa décision du 5 avril 2024, les règles figurant à l’art. 80 LATC ne peuvent pas être contournées par l’octroi d’une dérogation fondée sur l’art. 85 LATC et la réglementation communale d’application de cette disposition; par rapport aux règles figurant à l’art. 80 LATC, le droit communal ne peut pas être plus permissif que cette disposition de droit cantonal (sur les relations entre les art. 80 et 85 LATC, voir spéc. CDAP AC.2013.0401 du 4 mars 2014 consid. 4c/bb; TA AC 2005.0110 du 29 mars 2006 consid. 3e; cf. ég. R. Didisheim, Le statut des ouvrages non réglementaires en droit vaudois, particulièrement dans les zones à bâtir, RDAF 1987 397). En d’autres termes, des travaux aggravant l’atteinte à la réglementation en vigueur ne peuvent pas être autorisés au travers de l’octroi d’une dérogation fondée sur l’art. 85 LATC et la réglementation communale d’application. Ce point ne semble d’ailleurs plus contesté par le recourant (cf. haut de la page 3 du recours).</w:t>
      </w:r>
    </w:p>
    <w:p>
      <w:r>
        <w:rPr>
          <w:b/>
        </w:rPr>
        <w:t>E. 4</w:t>
      </w:r>
    </w:p>
    <w:p>
      <w:r>
        <w:t>Dans un autre grief au fond, le recourant soutient que le dossier énergétique de son projet d'extension est conforme aux exigences posées par la LVLEne, tandis que la décision entreprise retient le contraire. Cette question peut souffrir de demeurer indécise, le recours devant de toute façon être rejeté en raison de ce qui figure au considérant qui précède.</w:t>
      </w:r>
    </w:p>
    <w:p>
      <w:r>
        <w:rPr>
          <w:b/>
        </w:rPr>
        <w:t>E. 5</w:t>
      </w:r>
    </w:p>
    <w:p>
      <w:r>
        <w:t>Dans un dernier grief, le recourant invoque une violation du principe de l’égalité de traitement, en invoquant le fait que la municipalité aurait fait une application différente de l’art. 80 LATC en lien avec un projet de transformation et de surélévation sur la parcelle n° 451. Le courriel qu’il invoque à ce sujet (pièce 7 produite le 9 septembre 2024) montre toutefois que le permis de construire requis en lien avec la parcelle n° 451 a pu être délivré en raison du fait que la municipalité a estimé qu’il n’y avait pas d’aggravation de l’atteinte à la réglementation en vigueur. Même à supposer que cette appréciation ait été erronée (ce qui ne résulte toutefois pas du dossier), on ne saurait déduire de ce cas particulier, voire d’autres dossiers qui ont été traités par la municipalité, le droit pour le recourant d’obtenir des dérogations qui vont au-delà de ce que permet l’art. 80 al. 2 LATC. En effet, pour que cela puisse être envisagé (à propos des conditions permettant de faire prévaloir le principe de l’égalité de traitement sur celui de la légalité, arrêts TF 1C_270/2021 du 1 er octobre 2021 consid. 3.1; 1C_627/2018 du 4 septembre 2019 consid. 4.1), il faudrait que la municipalité ait manifesté l’intention de ne pas se conformer, dans le futur, à la bonne application de la loi et de s’en tenir à une pratique illégale (à supposer que celle-ci existe). En l’espèce, la municipalité n’a aucunement manifesté la volonté de s’en tenir dans le futur à une éventuelle pratique illégale, en lien avec l’art. 80 LATC. Dans ces circonstances, le recourant ne saurait faire prévaloir le principe de l’égalité de traitement sur celui de la légalité, qu’elle qu’ait été la pratique municipale jusqu’ici. Il est de surcroît très douteux, au regard de l’intérêt public à la bonne application de la loi, qu’une municipalité puisse persister dans une éventuelle pratique contraire à l’art. 80 LATC.</w:t>
      </w:r>
    </w:p>
    <w:p>
      <w:r>
        <w:rPr>
          <w:b/>
        </w:rPr>
        <w:t>E. 6</w:t>
      </w:r>
    </w:p>
    <w:p>
      <w:r>
        <w:t>A titre de mesures d'instruction, le recourant requiert la mise en œuvre d'une inspection locale ainsi que la production par l'autorité intimée de tous les dossiers des projets pour lesquels l'art. 80 LATC a été appliqué depuis le 1 er janvier 2020, y compris le dossier d'enquête du projet autorisé sur la parcelle n° 451 également située à Préverenges, dénonçant l'existence d'une pratique communale qui violerait le principe de l'égalité de traitement. Au vu de la nature des griefs invoqués, de nature essentiellement juridique, la tenue d’une inspection locale n’est pas nécessaire. En raison de ce qui est exposé ci-dessus au consid. 5, la production d’autres dossiers dans lesquels la municipalité a fait application de l’art. 80 LATC ne serait pas de nature à avoir une quelconque influence sur le sort réservé au présent recours. Par conséquent, il n’y a pas lieu de donner suite aux mesures d’instruction complémentaires requises par le recourant.</w:t>
      </w:r>
    </w:p>
    <w:p>
      <w:r>
        <w:rPr>
          <w:b/>
        </w:rPr>
        <w:t>E. 7</w:t>
      </w:r>
    </w:p>
    <w:p>
      <w:r>
        <w:t>Les considérants qui précèdent conduisent au rejet du recours et à la confirmation de la décision attaquée. Un émolument judiciaire sera mis à la charge du recourant, qui succombe (art. 49 LPA-VD). Celui-ci supportera également une indemnité de dépens en faveur de la municipalité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