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AC.2024.0122 vom 5. Juni 2024</w:t>
      </w:r>
    </w:p>
    <w:p>
      <w:r>
        <w:t>VD Tribunal cantonal, 2024-06-05, FR</w:t>
      </w:r>
    </w:p>
    <w:p>
      <w:r>
        <w:rPr>
          <w:b/>
        </w:rPr>
        <w:t xml:space="preserve">Quelle: </w:t>
      </w:r>
      <w:r>
        <w:t>https://mcp.opencaselaw.ch/entscheid/vd_omni_AC.2024.0122</w:t>
      </w:r>
    </w:p>
    <w:p>
      <w:r>
        <w:t>FR: VD_OMNI AC.2024.0122 du 5 juin 2024</w:t>
      </w:r>
    </w:p>
    <w:p>
      <w:r>
        <w:t>IT: VD_OMNI AC.2024.0122 del 5 giugno 2024</w:t>
      </w:r>
    </w:p>
    <w:p>
      <w:pPr>
        <w:pStyle w:val="Heading2"/>
      </w:pPr>
      <w:r>
        <w:t>Regeste</w:t>
      </w:r>
    </w:p>
    <w:p>
      <w:r>
        <w:t>A.________ et B.________ /Municipalité de Juriens, C.________ | Irrecevabilité du recours formé contre un permis de construire (travaux réalisés à l'intérieur d'un bâtiment) pour défaut de la qualité pour recourir (parcelles des recourants situées à plus de 100 mètres de la parcelle de la constructrice). Recours en matière de droit public rejeté par le TF (1C_418/2024 du 6 février 2025).</w:t>
      </w:r>
    </w:p>
    <w:p>
      <w:pPr>
        <w:pStyle w:val="Heading2"/>
      </w:pPr>
      <w:r>
        <w:t>Erwägungen</w:t>
      </w:r>
    </w:p>
    <w:p>
      <w:r>
        <w:rPr>
          <w:b/>
        </w:rPr>
        <w:t>E. 1</w:t>
      </w:r>
    </w:p>
    <w:p>
      <w:r>
        <w:t>Le Tribunal cantonal examine d'office et librement la recevabilité des recours qui lui sont soumis. a) 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AC.2022.0332 du 23 février 2024 consid. 1b, AC.2021.0312 du 31 mars 2022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AC.2024.0075 du 17 avril 2024 consid.1 et les références). Le recours d'un particulier formé dans l'intérêt de la loi ou d'un tiers est en revanche irrecevable (ATF 137 II 30 consid. 2.2.3). Pour que l'examen d'office de la recevabilité puisse être effectué d'emblée par le juge, il incombe en principe à la partie recourante d'alléguer, dans son mémoire de recours, les faits propres à établir sa qualité pour recourir, du moins lorsque celle-ci n'est pas immédiatement reconnaissable, ne ressortant pas de façon évidente de la décision attaquée ou du dossier (cf. AC.2024.0037 du 12 avril 2024 consid. 2a et les références). b) En l'occurrence, A._______ allègue être propriétaire (propriétaire individuelle, en main commune ou en copropriété) de trois parcelles, les n os 31, 39 et 340 du registre foncier, qui, d'après elle, sont situées à une centaine de mètres de la parcelle qui supporte la construction litigieuse (allégué 3 p. 4). Elle allègue en outre être encore propriétaire d'autres parcelles à Juriens (n os 30, 115, 116, 178, 182 et 194; cf. allégué 1, où la recourante ne démontre toutefois pas qu'il existe une parcelle n° 30 au registre foncier, le cadastre RDPPF ne contenant aucune donnée à ce propos), en admettant toutefois implicitement qu'elles sont plus éloignées de la parcelle n° 77 – ce qui ressort en effet des cartes du guichet cartographique cantonal ( www.geo.vd.ch ). La recourante est effectivement propriétaire des parcelles adjacentes n os 31 et 39. Elle n'est en revanche pas propriétaire de la parcelle n° 340, qui appartient en copropriété à des tiers (trois personnes) depuis juin 2016. Etant donné que le permis de construire litigieux concerne des travaux intérieurs, dans un appartement (appartement E) créé dans des locaux déjà aménagés dans la partie nord de la maison de la constructrice, il faut déterminer la distance entre cet appartement et la parcelle la plus proche appartenant à la recourante, c'est-à-dire la parcelle n° 39. La municipalité n'a pas autorisé de travaux à l'extérieur de la maison; en particulier, elle a dispensé la constructrice de l'obligation d'aménager de nouvelles places de stationnement. D'après les indications du guichet cartographique cantonal, la distance entre la limite nord de la parcelle n° 39 et l'appartement E est de 120 m (à vol d'oiseau). Les parcelles n os 39 et 77 ne font pas partie d'un même quartier du village. Le bâtiment érigé sur la parcelle n° 39 fait partie d'un groupe de maisons récentes, en bordure du village, accessible par la rue des Tilleuls puis la route du Grand Essert, tandis que la maison de la constructrice est une ancienne ferme du noyau du village. Conformément à la jurisprudence (cf. supra), la distance entre les deux propriétés – supérieure de 1/5 e au maximum généralement retenu – ne permet pas d'établir, pour la recourante A._______, l'existence d'un intérêt digne de protection. Il n'est en outre pas prétendu que les transformations intérieures litigieuses, imperceptibles même pour des voisins plus proches, pourraient être à l'origine d'immissions ou d'autres inconvénients dans le quartier des parcelles n os 31 et 39. c) Le recourant B._______ allègue quant à lui être propriétaire, comme A._______, des parcelles n os 115, 116, 182 et 194. Il résulte de ce qui précède (consid. 1a) que cela ne permet pas d'établir l'existence d'une atteinte à ses droits ou à sa position de propriétaire foncier dans la même commune, ni celle d'un intérêt digne de protection à l'annulation du permis de construire. d) Il s'ensuit que le recours doit être déclaré d'emblée irrecevable, les recourants ne remplissant ni l'un ni l'autre les conditions de l'art. 75 let. a LPA-VD.</w:t>
      </w:r>
    </w:p>
    <w:p>
      <w:r>
        <w:rPr>
          <w:b/>
        </w:rPr>
        <w:t>E. 2</w:t>
      </w:r>
    </w:p>
    <w:p>
      <w:r>
        <w:t>Le présent arrêt doit être rendu selon la procédure simplifiée de l'art. 82 LPA-VD, sans échange d'écritures. Vu l'issue de la cause, les recourants doivent supporter les frais de justice (art. 49 LPA-VD). Il n'y a pas lieu d'allouer des dépens, les autres parties n'ayant pas été invitées à se déterminer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