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AC.2024.0075 vom 17. April 2024</w:t>
      </w:r>
    </w:p>
    <w:p>
      <w:r>
        <w:t>VD Tribunal cantonal, 2024-04-17, FR</w:t>
      </w:r>
    </w:p>
    <w:p>
      <w:r>
        <w:rPr>
          <w:b/>
        </w:rPr>
        <w:t xml:space="preserve">Quelle: </w:t>
      </w:r>
      <w:r>
        <w:t>https://mcp.opencaselaw.ch/entscheid/vd_omni_AC.2024.0075</w:t>
      </w:r>
    </w:p>
    <w:p>
      <w:r>
        <w:t>FR: VD_OMNI AC.2024.0075 du 17 avril 2024</w:t>
      </w:r>
    </w:p>
    <w:p>
      <w:r>
        <w:t>IT: VD_OMNI AC.2024.0075 del 17 aprile 2024</w:t>
      </w:r>
    </w:p>
    <w:p>
      <w:pPr>
        <w:pStyle w:val="Heading2"/>
      </w:pPr>
      <w:r>
        <w:t>Regeste</w:t>
      </w:r>
    </w:p>
    <w:p>
      <w:r>
        <w:t>A.________, B.________/Municipalité d'Ormont-Dessus, Direction générale du territoire et du logement, C.________ | Irrecevabilité du recours formé contre un permis de construire pour défaut de la qualité pour recourir (parcelle des recourants située à plus de 2 km de celle du constructeur). Recours en matière de droit public rejeté par le TF (1C_303/2024 du 24 mai 2024).</w:t>
      </w:r>
    </w:p>
    <w:p>
      <w:pPr>
        <w:pStyle w:val="Heading2"/>
      </w:pPr>
      <w:r>
        <w:t>Erwägungen</w:t>
      </w:r>
    </w:p>
    <w:p>
      <w:r>
        <w:rPr>
          <w:b/>
        </w:rPr>
        <w:t>E. 1</w:t>
      </w:r>
    </w:p>
    <w:p>
      <w:r>
        <w:t>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La qualité pour recourir est définie à l'art. 75 LPA-VD (par renvoi de l'art. 99 LPA-VD). S'agissant des particuliers,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AC.2022.0332 du 23 février 2024 consid. 1b, AC.2021.0312 du 31 mars 2022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dans la jurisprudence constante de la CDAP, cf. notamment AC.2023.0030 du 22 mars 2024 consid. 2a, AC.2022.0332 du 23 février 2024 consid. 1b et les références). Les recourants ne sont pas propriétaires d'un immeuble directement voisin de la parcelle du constructeur. Interpellés par le juge instructeur, ils se sont prévalus uniquement de leur qualité de propriétaires de la parcelle n° 4718, qui est très éloignée de la parcelle litigieuse (à plus de deux kilomètres, dans un autre village), et ils n'ont invoqué aucune circonstance particulière dont ils pourraient déduire une atteinte directe à leurs intérêts ou à leur situation juridique. Il est manifeste que les conditions de l'art. 75 let. a LPA-VD, telles qu'elles ont été précisées par la jurisprudence, ne sont pas remplies. Aussi le recours doit-il être déclaré d'emblée irrecevable.</w:t>
      </w:r>
    </w:p>
    <w:p>
      <w:r>
        <w:rPr>
          <w:b/>
        </w:rPr>
        <w:t>E. 2</w:t>
      </w:r>
    </w:p>
    <w:p>
      <w:r>
        <w:t>Le présent arrêt d'irrecevabilité doit être rendu selon la procédure simplifiée de l'art. 82 LPA-VD (par renvoi de l'art. 99 LPA-VD), c'est-à-dire sans échange d'écritures et avec une motivation sommaire. Les recourants, qui n'obtiennent pas gain de cause, doivent payer un émolument judiciaire (art. 49 LPA-VD). Comme le constructeur et les autorités intimées n'ont pas été invités à déposer une réponse au recours, il n'y a pas lieu de leur 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