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AC.2024.0051 vom 30. Januar 2025</w:t>
      </w:r>
    </w:p>
    <w:p>
      <w:r>
        <w:t>VD Tribunal cantonal, 2025-01-30, FR</w:t>
      </w:r>
    </w:p>
    <w:p>
      <w:r>
        <w:rPr>
          <w:b/>
        </w:rPr>
        <w:t xml:space="preserve">Quelle: </w:t>
      </w:r>
      <w:r>
        <w:t>https://mcp.opencaselaw.ch/entscheid/vd_omni_AC.2024.0051</w:t>
      </w:r>
    </w:p>
    <w:p>
      <w:r>
        <w:t>FR: VD_OMNI AC.2024.0051 du 30 janvier 2025</w:t>
      </w:r>
    </w:p>
    <w:p>
      <w:r>
        <w:t>IT: VD_OMNI AC.2024.0051 del 30 gennaio 2025</w:t>
      </w:r>
    </w:p>
    <w:p>
      <w:pPr>
        <w:pStyle w:val="Heading2"/>
      </w:pPr>
      <w:r>
        <w:t>Regeste</w:t>
      </w:r>
    </w:p>
    <w:p>
      <w:r>
        <w:t>A.________/Direction générale du territoire et du logement, Municipalité de Bex | Admission partielle du recours dirigé contre l'ordre de remise en état concernant les modifications apportées sans droit au chalet des Râpes, aux Plans-sur-Bex. Sous l'angle de la garantie de la situation acquise, les transformations apportées à la toiture (en sifflet) sont respectueuses de l'identité du chalet. L'extension hors volume, d'intervention minimale et presque entièrement enterrée au niveau du rez, peut être régularisée. En revanche, les modifications apportées à la terrasse et à la remise, l'extension du volume à l'étage des combles et le bûcher adossé à la façade ouest ne sont pas admissibles. Les principes de la proportionnalité et de la bonne foi ne font pas obstacle aux mesures de remise en état. Tolérance des avant-toits des lucarnes.</w:t>
      </w:r>
    </w:p>
    <w:p>
      <w:pPr>
        <w:pStyle w:val="Heading2"/>
      </w:pPr>
      <w:r>
        <w:t>Erwägungen</w:t>
      </w:r>
    </w:p>
    <w:p>
      <w:r>
        <w:rPr>
          <w:b/>
        </w:rPr>
        <w:t>E. 1</w:t>
      </w:r>
    </w:p>
    <w:p>
      <w:r>
        <w:t>La voie du recours de droit administratif, au sens des art. 92 ss LPA-VD, est ouverte contre une décision prise par la DGTL, concernant des constructions ou des installations hors de la zone à bâtir. Déposé en temps utile (cf. art. 95 LPA-VD), le recours respecte en outre les conditions formelles de recevabilité (en particulier art. 79 LPA-VD, applicable par renvoi de l'art. 99 LPA-VD). Le propriétaire des ouvrages concernés par la décision attaquée a manifestement la qualité pour recourir (art. 75 let. a LPA-VD, applicable par renvoi de l'art. 99 LPA-VD).</w:t>
      </w:r>
    </w:p>
    <w:p>
      <w:r>
        <w:rPr>
          <w:b/>
        </w:rPr>
        <w:t>E. 2</w:t>
      </w:r>
    </w:p>
    <w:p>
      <w:r>
        <w:t>(cf. écriture du recourant du 30 septembre 2024 à la DGTL), avec un agrandissement vers le sud et l'ouest. Par ailleurs, l'espace sous cette nouvelle terrasse, autrefois un simple lieu de dépôt qui n'avait pas fait l'objet d'aménagements spécifiques, a été transformé en un petit atelier/dépôt où sont stockés divers outils. Cette création d'un volume supplémentaire complètement fermé altère significativement l'aspect de la façade sud du chalet, qui est par ailleurs la plus visible. De telles modifications, par leur impact, contreviennent aux prescriptions légales en matière de garantie de la situation acquise. Il a été constaté lors de l'inspection locale que l'escalier d'accès extérieur au balcon en façade sud avait été supprimé. La décision de la DGTL a donc déjà été exécutée sur ce point particulier (ch. 13 1 ère phr.). Par rapport à cet aspect, le recours a ainsi perdu son objet.</w:t>
      </w:r>
    </w:p>
    <w:p>
      <w:r>
        <w:rPr>
          <w:b/>
        </w:rPr>
        <w:t>E. 3</w:t>
      </w:r>
    </w:p>
    <w:p>
      <w:r>
        <w:t>Il reste à déterminer si, comme le soutient le recourant, l'ordre de remise en état contrevient aux principes constitutionnels de la proportionnalité et de la bonne foi. 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(Cst.; RS 101) (ATF 147 II 309 consid. 5.5; TF 1C_53/2022 du 15 mai 2023 consid. 4.1).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 traitement devant la loi (TF 1C_189/2022 du 13 janvier 2022 consid. 2.2; 1C_8/2022 du 5 décembre 2022 consid. 4.1).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CDAP AC.2023.0231 du 5 janvier 2024 consid. 4a). Toutefois, celui qui place l'autorité devant un fait accompli doit s'attendre à ce qu'elle se préoccupe plus de rétablir une situation conforme au droit que d'éviter les inconvénients qui en découlent pour lui. En outre, dans la mesure où la prohibition de construire hors des zones à bâtir répond à une préoccupation centrale de l'aménagement du territoire (art. 75 al. 1 Cst.), cet intérêt public l'emporte sur l'intérêt privé financier des propriétaires à s'opposer au rétablissement d'une situation conforme au droit. Un tel motif financier ne saurait en soi faire échec à l'inconstructibilité fondamentale de la zone agricole (CDAP AC.2023.0231 précité consid. 4a et les références). b) C'est à tort que le recourant reproche, dans une critique de nature formelle, à l'autorité intimée d'avoir motivé sa décision de manière insuffisante. À l'évidence, il a compris que la DGTL a accordé, dans le cadre de sa pesée des intérêts, un poids prépondérant à l'intérêt public lié à la séparation de l'espace bâti et non bâti. Dans la mesure où il a pu contester cette appréciation de manière circonstanciée, aussi bien dans ses écritures que par oral au cours d'une inspection locale, toute violation de son droit d'être entendu peut être écartée, la CDAP disposant de surcroît d'un large pouvoir d'appréciation en faits et en droit (art. 98 LPA-VD). c) aa) La toiture et les avant-toits du chalet des Râpes (ch. 8 et 9 du dispositif) pouvant être régularisés, les arguments du recourant concernant la proportionnalité de la mesure ordonnant leur remise en état sont sans objet. bb) Dans ses écritures, le recourant conteste en particulier la proportionnalité de la mesure ordonnant la démolition de l'extension hors volume réalisée au nord du chalet (ch. 11). Il soutient que son intérêt privé, de nature financière, l'emporte sur les intérêts publics opposés. L'extension comprend en effet le local technique alimentant le chauffage au sol de l'ensemble du bâtiment. Selon lui, la remise en état engendrerait des coûts disproportionnés, qu'il estime " à plusieurs dizaines de milliers de francs " (il chiffre la seule démolition du local technique à 150'000 fr.; recours, p. 18). Il souligne en outre que l'accès au chalet des Râpes est impossible en véhicule automobile, nécessitant ainsi le transport des matériaux et des engins de chantier par hélicoptère. Il n'est pas contesté que la démolition de l'extension entraînerait des frais importants pour le recourant. Ceux-ci doivent toutefois être relativisés puisque le local technique et le cellier, au rez, pourront être régularisés (cf. supra consid. 2d)cc). De manière générale, le coût élevé des travaux ne saurait faire obstacle à l'application stricte du principe d'inconstructibilité hors zone à bâtir (TF 1C_533/2021 du 19 janvier 2023 consid. 5.2, qui concerne la démolition d'un chalet [d'une valeur de 1'320'000 fr.] estimée à 280'000 fr.). En juger autrement reviendrait à favoriser les propriétaires de constructions illégales d'une valeur élevée et d'une taille importante, représentant une infraction d'autant plus grave à la réglementation fédérale. La jurisprudence considère par ailleurs que le montant de la remise en état n'est pas à lui seul décisif (TF 1C_29/2016 du 18 janvier 2017 consid. 7.2 qui concerne une remise en état pour un montant de l'ordre de 200'000 fr.; 1C_136/2009 du 4 novembre 2009 qui concerne une remise en état pour un montant estimé à 300'000 fr.). Dans le cas présent, l'extension hors volume réalisée au nord du chalet empiète sur la zone inconstructible et ce, dans une mesure non négligeable: l'agrandissement correspond en effet à une bande d'environ 2 m de largeur sur 9 m de longueur. L'atteinte portée au principe cardinal de la séparation du territoire bâti et non bâti est importante, et ne peut être tolérée au-delà de la régularisation du local technique et du cellier, pour l'essentiel enterrés. Conformément à la jurisprudence susmentionnée, les intérêts économiques du propriétaire, même s'ils sont importants, ne sauraient faire obstacle à la remise en état de l'extension au niveau des combles. cc) Par rapport au principe de la proportionnalité, la DGTL estime que l'accroche au faîte sur les pans est et ouest de la toiture, ainsi que la nouvelle répartition des surfaces vitrées (trois panneaux au lieu de quatre) peuvent être tolérées (ch. 7 de la décision). En revanche, l'autorité intimée demande que l'élargissement des avant-toits des lucarnes (qui couvrent les fenêtres) sur les pans de toiture est et ouest soient réduits à leurs dimensions d'origine. La cour de céans estime toutefois que cette différence de traitement ne se justifie pas. C'est essentiellement l'accroche des lucarnes au faîte et la répartition des surfaces vitrées qui portent atteinte à l'identité de la construction. A partir du moment où ces modifications sont tolérées, il apparaît disproportionné de demander la réduction de l'élargissement des avant-toits des lucarnes à leurs dimensions d'origine, ce d'autant plus que cette opération ne serait pas aisée à réaliser. Ces avant-toits peuvent eux aussi être tolérés. Cela implique de compléter le chiffre 7 de la décision et de supprimer le chiffre 10. dd) Concernant la remise en état des autres aspects, soit le bûcher (ch. 12), la terrasse et le couvert (ch. 13 s.), le recourant se borne pour l'essentiel à reprendre les arguments qu'il a développés en lien avec le respect de l'identité du bâtiment, sans exposer concrètement en quoi son intérêt privé au maintien de ces éléments l'emporterait sur les autres intérêts publics contraires, en particulier l'intérêt public, particulièrement important, lié à la séparation de l'espace bâti et non bâti, summa divisio du droit de l'aménagement du territoire. L'élargissement des avant-toits des lucarnes a modifié l'identité du chalet des Râpes et dépasse dès lors ce qui peut être admis au titre de transformation partielle au sens de l'art. 24c LAT (cf. supra consid. 2d)bb): la DGTL n'avait d'autre choix que d'ordonner le rétablissement d'une situation conforme au droit, compte tenu de l'intérêt public à la limitation des dimensions des constructions hors zone à bâtir. Quant au bûcher, à la terrasse et à la remise, ces aménagements aggravent l'illégalité des modifications effectuées et modifient les abords du chalet. Ils doivent par conséquent être supprimés, l'ordre de remise en état étant proportionné. d) Le recourant, qui se prévaut de sa bonne foi, ne peut rien tirer des autorisations ou des garanties orales qui ont été délivrées par la municipalité à l'ancien propriétaire: celles-ci l'ont été par une autorité incompétente (art. 25 al. 2 LAT; TF 1C_182/2023 du 16 août 2024 consid. 4.6 et les références), vice sanctionné par leur nullité. Contrairement à ce qu'il semble sous-entendre, le désassujettissement de la parcelle n o 4520 à la loi fédérale sur le droit foncier rural du 4 octobre 1991 (LDFR; RS 211.412.11) n'a pas pour effet d'attribuer ce bien-fonds à la zone constructible ou encore d'exclure un retour à sa vocation agricole, ce à défaut de mesure de planification au sens de la LAT. Cet élément demeure en l'espèce sans pertinence: aussi le principe cardinal de la séparation entre territoire construit et non construit conserve-t-il sa pleine vigueur (TF 1C_182/2023 précité consid. 4.3). Le recourant ne peut par ailleurs pas déduire du fait que l'autorité cantonale compétente s'est désintéressée des travaux exécutés sur la parcelle n o 4520 une assurance particulière quant au maintien des ouvrages et aménagements réalisés sans droit en zone agricole; sa bonne foi, fût-elle établie, ne saurait le protéger contre une intervention de l'autorité de surveillance destinée à rétablir une situation conforme au droit lorsque cette intervention est conforme au principe de la proportionnalité (TF 1C_182/2023 précité consid. 4.6; 1C_443/2010 du 6 juin 2011 consid. 4.2), ce qui est le cas en l'espèce. e) Le recourant demande enfin que l'exigence d'une mention (au registre foncier) relative à l'utilisation du chalet des Râpes comme chalet de week-end et à l'épuisement du potentiel de transformation alloué par l'art. 24c LAT (ch. 19 du dispositif de la décision attaquée) soit supprimée. Le fait que le chalet des Râpes est utilisé comme chalet de vacances depuis 1947 (et donc à la date déterminante de 1972) n'est pas contesté. Il n'est pas davantage contesté que le potentiel de transformation est épuisé, le recourant ayant proposé de condamner certains espaces afin de respecter la limite légale déterminante (cf. supra consid. d)cc). Partant, une mention au registre foncier, fondée sur ces constats, n'est pas critiquable (cf. art. 44 al. 2 OAT).</w:t>
      </w:r>
    </w:p>
    <w:p>
      <w:r>
        <w:rPr>
          <w:b/>
        </w:rPr>
        <w:t>E. 4</w:t>
      </w:r>
    </w:p>
    <w:p>
      <w:r>
        <w:t>Le recourant estime que les délais qui lui ont été impartis par la DGTL pour déposer une demande de permis de construire portant sur la régularisation de certains éléments (ch. 6 de la décision) et pour l'exécution des travaux de remise en état (ch. 17 de la décision) seraient trop courts, en raison notamment de la difficulté d'accès à la parcelle. Au vu des éléments concernés et de l'importance des travaux à entreprendre, un délai de 60 jours à compter de l'entrée en force de la décision de la DGTL est adéquat pour permettre au recourant de déposer un dossier de demande de permis de construire portant sur la régularisation de certains aménagements et sur les travaux de remise en état. Les chiffres 6 et 15 de la décision contestée doivent donc être confirmés. S'agissant du délai au 30 octobre 2025 imparti au recourant pour procéder aux mesures de remise en état, il y a lieu de tenir compte du temps écoulé depuis le dépôt du recours. Par conséquent, un nouveau délai de 18 mois à compter de l'entrée en vigueur de la décision de la DGTL doit être imparti au recourant pour procéder aux mesures de remise en état. Cela entraîne la réforme du chiffre 17 de la décision querellée.</w:t>
      </w:r>
    </w:p>
    <w:p>
      <w:r>
        <w:rPr>
          <w:b/>
        </w:rPr>
        <w:t>E. 5</w:t>
      </w:r>
    </w:p>
    <w:p>
      <w:r>
        <w:t>Le grief de constatation inexacte et incomplète des faits pertinents formulé par le recourant – qui relève essentiellement, sur plusieurs pages, les interventions constructives sur le chalet des Râpes et les échanges qu'il a eus avec les autorités communales à ce sujet – est absorbé par le contrôle libre de la violation du droit. Il n'a par conséquent pas de portée propre et est rejeté pour les mêmes motifs que ceux qui ont été énoncés aux considérants précédents.</w:t>
      </w:r>
    </w:p>
    <w:p>
      <w:r>
        <w:rPr>
          <w:b/>
        </w:rPr>
        <w:t>E. 6</w:t>
      </w:r>
    </w:p>
    <w:p>
      <w:r>
        <w:t>Les considérants qui précèdent conduisent à l'admission partielle du recours. Cela entraîne la réforme partielle de la décision attaquée. Un émolument judiciaire, réduit de moitié, est mis à la charge du recourant, qui obtient partiellement gain de cause (art. 49 LPA-VD). Il a droit à une indemnité de dépens, également réduite de moitié, à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