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AC.2024.0004 vom 9. Januar 2025</w:t>
      </w:r>
    </w:p>
    <w:p>
      <w:r>
        <w:t>VD Tribunal cantonal, 2025-01-09, FR</w:t>
      </w:r>
    </w:p>
    <w:p>
      <w:r>
        <w:rPr>
          <w:b/>
        </w:rPr>
        <w:t xml:space="preserve">Quelle: </w:t>
      </w:r>
      <w:r>
        <w:t>https://mcp.opencaselaw.ch/entscheid/vd_omni_AC.2024.0004</w:t>
      </w:r>
    </w:p>
    <w:p>
      <w:r>
        <w:t>FR: VD_OMNI AC.2024.0004 du 9 janvier 2025</w:t>
      </w:r>
    </w:p>
    <w:p>
      <w:r>
        <w:t>IT: VD_OMNI AC.2024.0004 del 9 gennaio 2025</w:t>
      </w:r>
    </w:p>
    <w:p>
      <w:pPr>
        <w:pStyle w:val="Heading2"/>
      </w:pPr>
      <w:r>
        <w:t>Regeste</w:t>
      </w:r>
    </w:p>
    <w:p>
      <w:r>
        <w:t>A.________/Municipalité de Vevey, B.________ | Recours d'un opposant contre la décision de la municipalité régularisant la pose d'une balustrade sur une toiture plate. Le recours est superflu en tant qu'il conteste l'usage de la toiture comme terrasse (jardin et aire de jeu notamment), dès lors que la décision attaquée interdit déjà cet usage. Peu importe que les observations de la constructrice, participante à la présente procédure au titre de tiers intéressé, plaident pour un tel usage: la constructrice n'ayant pas recouru contre cette interdiction, elle n'est pas légitimée à exploiter maintenant le recours formé par l'opposant pour la contester (c. 2). Pas de violation du droit d'être entendu au motif que la municipalité n'a pas informé le recourant, avant de statuer, des modifications intervenues dans les plans, puis qu'elle n'a pas transmis au recourant le permis de construire simultanément à sa décision de levée d'opposition (c. 4). La recourant dénonce en vain une violation du principe de célérité: l'art. 114 LATC vise à protéger avant tout les intérêts du constructeur; le recourant se limite à se plaindre de ce que l'usage du toit comme terrasse a persisté pendant la procédure; quoi qu'il en soit enfin, la municipalité a désormais statué (c. 5). Pas de violation des règles sur l'esthétique (c. 6). Recours rejeté.</w:t>
      </w:r>
    </w:p>
    <w:p>
      <w:pPr>
        <w:pStyle w:val="Heading2"/>
      </w:pPr>
      <w:r>
        <w:t>Erwägungen</w:t>
      </w:r>
    </w:p>
    <w:p>
      <w:r>
        <w:rPr>
          <w:b/>
        </w:rPr>
        <w:t>E. 1</w:t>
      </w:r>
    </w:p>
    <w:p>
      <w:r>
        <w:t>Déposé en temps utile (art. 95 de la loi du 28 octobre 2008 sur la procédure administrative; LPA-VD; BLV 173.36), par un voisin direct dont il n’est pas contestable qu'il a la qualité pour recourir au sens de l’art. 75 let. a LPA-VD, le recours remplit en outre les conditions formelles posées par la loi (art. 79 al. 1 applicable par renvoi de l’art. 99 LPA-VD), de sorte qu'il y a lieu d’entrer en matière sur le fond.</w:t>
      </w:r>
    </w:p>
    <w:p>
      <w:r>
        <w:rPr>
          <w:b/>
        </w:rPr>
        <w:t>E. 2</w:t>
      </w:r>
    </w:p>
    <w:p>
      <w:r>
        <w:t>de panneaux solaires photovoltaïques, de balustrade sur un toit végétalisé et d'un sas d'entrée pour le restaurant. " Formellement, le recourant conclut sans distinction à la réforme de la décision attaquée en ce sens que le permis de construire est refusé. Matériellement toutefois, le recourant se limite à contester la pose de la balustrade ainsi que l’utilisation de la toiture comme terrasse. L’objet du litige est ainsi réduit tout au plus à ces deux éléments. Il n’y a dès lors pas lieu d’examiner la licéité de la décision attaquée en tant qu'elle autorise d'autres ouvrages. b) La décision attaquée régularise la balustrade érigée sur la toiture selon les plans modifiés des 30 novembre 2021 et 3 octobre 2022, à savoir, selon la mention figurant expressément sur ces plans, en tant que dite toiture ne constitue qu’une "terrasse végétalisée accessible uniquement pour l'entretien". La teneur de la décision contestée confirme encore cette restriction, dans la mesure où la municipalité y indique avoir enjoint à la constructrice de supprimer le jardin potager et tout aménagement sur le toit. En d'autres termes, à première vue, le recours est superflu dans la mesure où il tend à contester l'usage de la toiture litigieuse comme terrasse. La constructrice, invitée à la présente procédure au titre de tiers intéressé, n'a pas recouru contre la décision attaquée, plus spécifiquement contre l'interdiction d'usage de la toiture comme terrasse. Elle a du reste elle-même soumis à la municipalité pour délivrance du permis de construire des plans désignant la toiture en cause comme inaccessible (hormis pour l'entretien). Elle n'est donc pas légitimée à exploiter le recours formé par l'opposant pour contester l'interdiction précitée. Il n'y a dès lors pas lieu d'entrer en matière sur ses conclusions implicites tendant au maintien de l'usage de la terrasse comme aire de jeu, de délassement ou de jardin. Seules ses conclusions formelles, tendant au rejet du recours et à la confirmation de la décision attaquée, sont recevables. c) En définitive, il sied de confirmer que seul fait l'objet du présent recours la régularisation de la balustrade.</w:t>
      </w:r>
    </w:p>
    <w:p>
      <w:r>
        <w:rPr>
          <w:b/>
        </w:rPr>
        <w:t>E. 3</w:t>
      </w:r>
    </w:p>
    <w:p>
      <w:r>
        <w:t>Le recourant et l'autorité intimée ont sollicité la tenue d'une inspection locale. a) Le droit d’être entendu, tel qu'il est garanti à l'art. 29 al. 2 de la Constitution fédérale de la Confédération suisse du 18 avril 1999 (Cst.; RS 101) et à l'art. 27 al. 2 de la Constitution du Canton de Vaud du 14 avril 2003 (Cst-VD; BLV 101.01), comprend notamment le droit pour l’intéressé d'obtenir qu'il soit donné suite à ses offres de preuves pertinentes et de participer à l'administration des preuves essentielles ou à tout le moins de s'exprimer sur son résultat, lorsque cela est de nature à influer sur la décision à rendre (ATF 145 I 167 consid. 4.1; 142 III 48 consid. 4.1.1).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145 I 167 consid. 4.1 et les arrêts cités). b) En l'espèce, compte tenu du grief à traiter, limité à la balustrade, le tribunal s'estime en mesure de statuer sur la seule base du dossier, en particulier sur les plans, le permis de construire et les photographies déjà produits. Il n'y a dès lors pas lieu de procéder à une inspection locale.</w:t>
      </w:r>
    </w:p>
    <w:p>
      <w:r>
        <w:rPr>
          <w:b/>
        </w:rPr>
        <w:t>E. 4</w:t>
      </w:r>
    </w:p>
    <w:p>
      <w:r>
        <w:t>Le recourant dénonce une violation de son droit d'être entendu. a) Sur ce point, il reproche à l'autorité intimée de ne pas l'avoir informé des modifications apportées au projet, alors que seules celles-ci seraient autorisées par la décision attaquée. De plus, il se plaint d'avoir reçu la décision attaquée sans copie du permis de construire ni des conditions qui le régissent, de sorte qu'il ignorerait quels travaux pourraient être mis en œuvre. b) Selon l'art. 108 al. 2 de la loi du 4 décembre 1985 sur l'aménagement du territoire et les constructions (LATC; BLV 700.11), le règlement cantonal et les règlements communaux déterminent les plans et les pièces à produire avec la demande. Celle-ci n'est tenue pour régulièrement déposée que lorsque ces exigences sont remplies. Le but de cette disposition (ainsi que de l'art. 69 du règlement du 19 septembre 1986 d'application de la LATC; RLATC; BLV 700.11.1) est de permettre à tout un chacun de se faire une idée claire, précise et concrète des travaux envisagés et de leur conformité aux règles de la police des constructions (CDAP AC.2022.0310 du 24 juillet 2023 consid. 3; AC.2021.0202 du 4 mars 2022 consid. 2a). La demande de permis est mise à l'enquête publique par la municipalité pendant trente jours (art. 109 al. 1 LATC). L'art. 114 al. 1 LATC prévoit que dans les quarante jours dès le dépôt de la demande de permis de construire conforme aux exigences légales et réglementaires et des pièces qui doivent l'accompagner, la municipalité est tenue de se déterminer en accordant ou en refusant le permis. Selon l’art. 116 al. 1 LATC, les auteurs d'oppositions motivées ou d’observations sont avisés de la décision accordant ou refusant le permis, avec l'indication des dispositions légales et réglementaires invoquées, lorsque l'opposition est écartée. Les art. 114 et 116 LATC imposent une communication simultanée de la levée de l'opposition et de la délivrance du permis de construire. Ces dispositions ont été adoptées pour garantir le droit d'être entendu des parties et la transparence de la procédure. Le projet doit ainsi faire l'objet d'une seule décision d'ensemble notifiée, dans une teneur identique, simultanément à tous les intéressés, en particulier aux opposants et aux constructeurs. Le but de cette règle réside d'une part dans le fait que les opposants doivent connaître exactement la teneur de l'autorisation de construire - ou de l’autorisation préalable d’implantation - qui a été délivrée, afin de pouvoir se déterminer en connaissance de cause sur la question de savoir s'ils entendent recourir contre la décision municipale. D'autre part, le principe de l'égalité des parties implique nécessairement que chacune d'elles ait connaissance des mêmes éléments que ceux qui ont été communiqués à l'autre; la municipalité ne peut ainsi réserver la teneur exacte du permis de construire aux seuls constructeurs, sans la communiquer aux opposants (TF 1C_65/2017 du 5 octobre 2017 consid. 5.4, citant TF 1C_445/2014 du 12 janvier 2015 consid. 2.3; CDAP AC.2019.0069 du 24 juillet 2020 consid. 3a/aa; AC.2019.0097 du 3 janvier 2020 consid. 2c). L'art. 116 LATC n'est toutefois pas violé lorsque les recourants, même s'ils se sont vu communiquer les décisions levant leurs oppositions sans le permis de construire, ont été avisés de l'existence de ce dernier et ont pu ou auraient pu en prendre connaissance et se déterminer à ce propos, et que le principe de la coordination matérielle a été respecté (cf. art. 25a al. 2 let. d de la loi fédérale du 22 juin 1979 sur l'aménagement du territoire [LAT; RS 700]; CDAP AC.2015.0307 du 22 novembre 2016 consid. 2b; plus récemment: AC.2022.0245 du 20 septembre 2023 consid. 2b/aa). Aux termes de l'art. 117 LATC, lorsqu'elle impose des modifications de minime importance, la municipalité peut délivrer un permis de construire subordonné à la condition que ces modifications soient apportées au projet. c) En l'occurrence, c'est à juste titre que la municipalité a renoncé à soumettre les modifications en cause à l'enquête publique complémentaire, dès lors que celles-ci, de minime importance, allaient dans le sens des opposants (cf. art. 111 et 117 LATC; CDAP AC.2017.0091 du 6 septembre 2018 consid. 3a; AC.2017.0150 du 25 avril 2018 consid. 3c; AC.2015.0307 du 22 novembre 2016 consid. 3b et les références citées). Pour le même motif, rien ne l'obligeait à en informer spécifiquement le recourant avant le prononcé de la décision attaquée. Enfin, dite décision mentionne expressément que le projet a été corrigé et que les plans modifiés pouvaient être consultés dans les bureaux communaux. Le recourant a donc été en mesure de recourir en disposant de toutes les informations nécessaires, de sorte que l'on ne discerne pas de violation de son droit d'être entendu sous cet angle. De même, l'autorité intimée a expressément indiqué dans la décision attaquée délivrait le permis de construire, de sorte que le recourant n'ignorait pas l'existence de ce document et conservait la possibilité d'en prendre connaissance. Quoi qu'il en soit, à supposer que le droit d'être entendu du recourant ait été violé, ce vice est désormais guéri devant la présente instance, qui dispose d'un plein pouvoir d'examen en fait et en droit.</w:t>
      </w:r>
    </w:p>
    <w:p>
      <w:r>
        <w:rPr>
          <w:b/>
        </w:rPr>
        <w:t>E. 5</w:t>
      </w:r>
    </w:p>
    <w:p>
      <w:r>
        <w:t>Le recourant dénonce une violation du principe de célérité. a) Le recourant rappelle avoir formé opposition en mars 2020 et relève qu’en dépit de plusieurs relances, la municipalité n’a rendu la décision contestée le 24 novembre 2023 seulement. Or, un tel retard à statuer, qu’aucune difficulté particulière ne pourrait justifier, aurait au contraire permis une utilisation illicite du toit. Enfin, la municipalité n’aurait pris aucune disposition pour y remédier dans l’intervalle. b) En vertu de l’art. 29 al. 1 Cst., toute personne a droit, dans une procédure judiciaire ou administrative, à ce que sa cause soit traitée équitablement et jugée dans un délai raisonnable. Cette disposition consacre le principe de la célérité. L’autorité viole cette garantie lorsqu'elle ne rend pas une décision qu'il lui incombe de prendre dans le délai prescrit par la loi ou dans le délai que la nature de l'affaire et les circonstances font apparaître comme raisonnable (ATF 144 I 318 consid. 7.1; 143 IV 373 consid. 1.3.1; 130 I 312 consid. 5.1). Le caractère raisonnable du délai s'apprécie selon les circonstances particulières de la cause, eu égard notamment à la complexité de l'affaire, à l'enjeu du litige pour l'intéressé, à son comportement ainsi qu'à celui des autorités compétentes ( ATF 144 II 486 consid. 3.2; 143 IV 373 consid. 1.3.1; 130 I 312 consid. 5.2 et les réf. citées). On ne saurait par ailleurs reprocher à une autorité quelques "temps morts"; ceux-ci sont inévitables dans une procédure (ATF 130 I 312 consid. 5.2; TF B_438/2024 du 4 décembre 2024  consid. 3.2  et les réf. citées). Dès que l’autorité a statué, le justiciable perd en principe tout intérêt juridique à faire constater un éventuel retard à statuer ( ATF 136 III 497 consid. 2.1; TF 9C_501/2023 du 21 octobre 2024 consid. 4.2; 2C_341/2020 du 19 janvier 2021 consid. 5.2). c) Comme déjà exposé, selon l'art. 114 LATC, la municipalité est tenue, sauf exceptions n'entrant pas en considération ici, de se déterminer en accordant ou en refusant le permis dans les quarante jours dès le dépôt de la demande de permis de construire. En l’occurrence, la demande de permis de construire a été déposée le 13 décembre 2019 et la municipalité n’a statué que le 23 novembre 2023, soit pratiquement quatre ans plus tard. Cela étant, d'une part, l'art. 114 LATC vise à protéger avant tout les intérêts du constructeur, qui a avantage à rapidement obtenir son permis de construire, respectivement être renseigné sur l'issue de sa demande. D'autre part, le recourant - opposant - ne se plaint pas de la durée de la procédure proprement dite de permis de construire, mais plutôt du fait que le mode d'exploitation du toit a persisté pendant celle-ci. Or, la municipalité avait bien, par courrier recommandé du 8 juin 2021 - certes non communiqué au recourant - ordonné à la constructrice de démolir les aménagements réalisés. Quoi qu'il en soit, la municipalité s'est désormais prononcée et le recourant n’expose pas les raisons pour lesquelles il conserverait encore un intérêt à faire constater un éventuel retard à statuer. Le grief de violation du principe de célérité est donc rejeté.</w:t>
      </w:r>
    </w:p>
    <w:p>
      <w:r>
        <w:rPr>
          <w:b/>
        </w:rPr>
        <w:t>E. 6</w:t>
      </w:r>
    </w:p>
    <w:p>
      <w:r>
        <w:t>Sur le fond, le recourant s'oppose au maintien de la balustrade, pour l’essentiel pour des motifs tenant à l’esthétique. a) aa) La Ville de Vevey est inscrite à l'Inventaire fédéral des sites construits à protéger en Suisse (ISOS). Selon la jurisprudence, les objectifs de l'ISOS ne sont toutefois pas directement applicables lorsque, comme en l'espèce, le litige concerne l'octroi d'une autorisation de construire. L'évaluation de la valeur d'un objet dans le cadre des procédures d'établissement des inventaires fédéraux et cantonaux constitue en effet un élément d'appréciation à disposition de l'autorité communale pour statuer sur l'application de la clause d'esthétique (CDAP AC.2020.0326 du 27 janvier 2022 consid. 7c). L'inventaire ISOS doit ainsi être pris en considération dans la pesée des intérêts de chaque cas d'espèce – y compris lors de l'accomplissement de tâches purement cantonales et communales –, en tant que manifestation d'un intérêt national. Une atteinte demeure possible lorsqu'elle n'altère pas l'identité de l'objet protégé, ni le but assigné à sa protection (CDAP AC.2023.0350 du 6 août 2024 consid. 5a/aa). bb) Au niveau cantonal, la protection du patrimoine bâti est assurée par la loi du 30 novembre 2021 sur la protection du patrimoine culturel immobilier (LPrPCI; BLV 451.16), en vigueur depuis le 1 er juin 2022. Quant à l'art. 86 LATC, il impose à la municipalité de veiller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Les règlements communaux doivent contenir des dispositions en vue d’éviter l’enlaidissement des localités et de leurs abords (al. 3). cc) Au plan communal, l’art. 44 al. 1 RCVV prévoit que la municipalité est compétente pour limiter les dimensions des parties de construction qui peuvent émerger de la toiture, notamment les cheminées, les cages d'escaliers ou d'ascenseurs, les lucarnes, les antennes, etc. L'art. 43 al. 2 RCVV dispose également que dans les zones I (à laquelle appartient la toiture litigieuse), II et V, les toitures en terrasse sont interdites pour les constructions d'une hauteur supérieure à celle d'un rez de chaussée. La pente des toits n'y sera pas inférieure à 22 degrés, soit 40%. Selon l'art. 40 al. 1 RCVV – figurant parmi les règles générales en matière d'architecture et d'esthétique – les constructions doivent, dans leur aspect extérieur, s'harmoniser avec les constructions existantes; elles ne doivent pas compromettre ou heurter l'aspect ou le caractère d'un site, d'un quartier ou d'une rue. S’agissant plus précisément de la vieille ville, l’art. 46 RCVV dispose : " Art. 46 Architecture dans la vieille ville Dans la zone I du plan annexé, l'architecture extérieure des façades, des toitures et ornements des constructions nouvelles ou transformées, devra être en harmonie avec le caractère du quartier. Ce caractère est déterminé par les anciennes constructions, notamment l'Hôtel-de-Ville, le Château, la Cour au Chantre, l'ancien "Cercle du Léman" rue du Lac 3, la maison de la Harpe Ancien-Port 6, la maison Burnat rue d'Italie 20 et 20 bis . Les caractéristiques de cette architecture sont notamment: - les toits couverts de tuiles plates, inclinés de 50 à 135% et réveillonnés, - les avant-toits prononcés, - les fenêtres à volets et petits bois à croisillons, - la faible longueur des façades sur rue, - l'absence de balcons importants, de bow-windows et de marquises, - les enseignes en fer forgé. La Municipalité décide si l'architecture des projets de construction ou de transformation tient suffisamment compte des critères énoncés ci-dessus. […] . " b) aa) Le recourant soutient que la balustrade autorisée, déjà posée, ne serait aucunement en harmonie avec le quartier. Au contraire, son apparence détonnerait avec le caractère luxueux de celui-ci. Une ligne de vie, plus discrète, remplirait entièrement les normes sécuritaires et, de plus, découragerait une utilisation par des tiers et/ou leurs enfants. bb) La constructrice affirme qu'elle défend les intérêts des enfants qui habitent tant dans son bâtiment que dans celui du recourant. De fait, ces enfants sortiraient sur la terrasse, notamment depuis une fenêtre. Ce serait précisément pour leur sécurité qu'elle aurait installé une balustrade solide. La ligne de vie proposée par le recourant ne protégerait pas les enfants transitant par le toit et constituerait ainsi une source importante de danger. La balustrade serait également nécessaire pour l'entretien du toit. Sous l'angle esthétique, la balustrade, en bois, récupérée de la Fête des Vignerons 2019, s'intégrerait parfaitement dans le site. cc) La municipalité expose que la toiture plate serait préexistante et bénéficierait par conséquent de la garantie de la situation acquise consacrée par l’art. 80 LATC. Pour le surplus, la municipalité considère que la balustrade serait nécessaire pour sécuriser l'accès à la toiture pour son entretien et rappelle qu’elle exige que la balustrade demeure en retrait des façades voisines. Enfin, elle relève que la balustrade est en matériau naturel (bois) et d’une forme sobre qui s'intégrerait bien dans le bâti qui l’environne. Quoi qu’il en soit, cet objet ne serait pas visible depuis le domaine public et son impact sur la vieille ville serait donc extrêmement faible. En ce sens, selon la municipalité, la balustrade serait parfaitement conforme au RCVV. c) Il ressort des photographies au dossier que la balustrade litigieuse correspond au descriptif établi par la constructrice et la municipalité: il s'agit d'un ouvrage en bois brun foncé, sobre et de qualité, ne déparant pas son environnement. Dans ces conditions, la CDAP retient que la municipalité n'a pas abusé de sa grande latitude d'appréciation en considérant que la balustrade respecte les règles de protection du patrimoine, de l'esthétique et de l'intégration.</w:t>
      </w:r>
    </w:p>
    <w:p>
      <w:r>
        <w:rPr>
          <w:b/>
        </w:rPr>
        <w:t>E. 7</w:t>
      </w:r>
    </w:p>
    <w:p>
      <w:r>
        <w:t>Vu ce qui précède, le recours, mal fondé, doit être rejeté et la décision attaquée confirmée. Succombant, le recourant doit assumer les frais judiciaires ainsi qu'une indemnité de dépens en faveur de l'autorité intimée (art. 49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