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AC.2023.0428 vom 31. März 2025</w:t>
      </w:r>
    </w:p>
    <w:p>
      <w:r>
        <w:t>VD Tribunal cantonal, 2025-03-31, FR</w:t>
      </w:r>
    </w:p>
    <w:p>
      <w:r>
        <w:rPr>
          <w:b/>
        </w:rPr>
        <w:t xml:space="preserve">Quelle: </w:t>
      </w:r>
      <w:r>
        <w:t>https://mcp.opencaselaw.ch/entscheid/vd_omni_AC.2023.0428</w:t>
      </w:r>
    </w:p>
    <w:p>
      <w:r>
        <w:t>FR: VD_OMNI AC.2023.0428 du 31 mars 2025</w:t>
      </w:r>
    </w:p>
    <w:p>
      <w:r>
        <w:t>IT: VD_OMNI AC.2023.0428 del 31 marzo 2025</w:t>
      </w:r>
    </w:p>
    <w:p>
      <w:pPr>
        <w:pStyle w:val="Heading2"/>
      </w:pPr>
      <w:r>
        <w:t>Regeste</w:t>
      </w:r>
    </w:p>
    <w:p>
      <w:r>
        <w:t>Office fédéral de l'environnement OFEV/Municipalité de Noville, Direction générale du territoire et du logement, Direction générale de l'environnement DGE-BIODIV, A.________, B.________ | Travaux sur un bâtiment existant sur une parcelle figurant à l'inventaire des sites marécageux d'une beauté particulière et d'importance nationale (Grangettes). Recours déposé par l'OFEV contre le permis de construire et les autorisations cantonales délivrés 7 ans auparavant. Qualité pour agir de l'OFEV reconnue (consid. 2). Recevabilité du recours admise en raison de l'existence d'une obligation, non respectée en l'espèce, de notification de cette décision à l'OFEV et au vu des intérêts en jeu (consid. 3). Rappel du régime légal strict découlant de l'art. 78 al. 5 Cst.; les aménagements dépassent le cadre de l'entretien et de la rénovation (notamment augmentation de la surface habitable) et n'auraient donc pas dû être autorisés dans le site marécageux (consid. 5). Conflit avec la protection découlant d'un autre inventaire (sites de reproduction des batraciens; consid. 6). Irrecevabilité de la conclusion tendant à la remise en état, qui n'est pas l'objet de la décision attaquée (consid. 8). Recours admis dans la mesure de sa recevabilité et réforme des autorisations cantonales et municipale en ce sens qu'elles ne sont pas délivrées. Recours pendant au TF (1C_251/2025).</w:t>
      </w:r>
    </w:p>
    <w:p>
      <w:pPr>
        <w:pStyle w:val="Heading2"/>
      </w:pPr>
      <w:r>
        <w:t>Erwägungen</w:t>
      </w:r>
    </w:p>
    <w:p>
      <w:r>
        <w:rPr>
          <w:b/>
        </w:rPr>
        <w:t>E. 1</w:t>
      </w:r>
    </w:p>
    <w:p>
      <w:r>
        <w:t>Le recours est formé par l'OFEV et dirigé à l'encontre de plusieurs actes distincts, à savoir la synthèse CAMAC comprenant les autorisations spéciales délivrées par les instances cantonales le 30 janvier 2018, dont l'ancien SDT et la DGE, et l'autorisation de construire rendue par la municipalité le 8 février 2018. Il y a ainsi lieu d'examiner la recevabilité du recours, contestée tant par la municipalité que par la DGTL et les constructeurs. La DGE s'en est remise à justice sur ce point.</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LAT (ATF 112 Ib 70 consid. 4b). L'autorisation de défrichement est expressément mentionnée à l'art. 2 al. 1 let. b LPN (ATF 121 II 190 consid. 3c/cc). La protection des biotopes selon les art. 18 ss LPN est une tâche fédérale confiée aux cantons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la protection des marais et des sites marécageux d'une beauté particulière et d'importance nationale (ATF 118 Ib 11 consid. 2e) ainsi que des mammifères et des oiseaux sauvages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al. 1 de la loi du 4 décembre 1985 sur l’aménagement du territoire et les constructions (LATC; BLV 700.11)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étaient datés de plus de sept ans (permis de construire et synthèse CAMAC) au moment du dépôt du recours. A ce sujet, l'OFEV se prévaut de l'absence totale de notification des actes litigieux, qui ne lui auraient été communiqués qu'à sa demande le 2 novembre 2023, en violation en particulier des art. 24g LPN et 27 al. 2 let. e et f OPN. Il convient dès lors de se pencher sur l'existence d'une obligation de notification.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zum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Lorsque les décisions attaquées ont été rendues - le 30 janvier 2018 s'agissant des décisions de la DGTL et de la DGE et le 8 février 2018 s'agissant du permis de construire -, l'art. 27 al. 2 let. e OPN était applicable et les autorités vaudoises étaient donc en principe tenues de notifier leurs décisions à l'OFEV. La municipalité, la DGTL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par courriel le 2 novembre 2023. Sur ce point, s'il est vrai que l'OFEV s'est vu transmettre l'arrêt AC.2023.0036 le 26 septembre 2023, les informations reçues à cette occasion se limitaient à l'existence d'une construction érigée sur la parcelle d'autres propriétaires en 2015-2016, dans un autre secteur du site des Grangettes. Ces éléments ne lui permettaient pas d'évaluer la teneur exacte des décisions correspondantes et leur motivation, respectivement si les décisions lui avaient en réalité cas échéant été notifiées et, partant, de déterminer l'opportunité de déposer un recours. L'office a alors procédé conformément à son devoir de se renseigner en requérant plus d'information à cet égard seulement quelques jours plus tard. Ce n'est que lorsqu'il s'est effectivement vu transmettre les décisions concernées que le délai de recours s'est alors mis à courir. A fortiori , le fait que d'autres arrêts ont été rendus depuis l'année 2014 concernant le secteur des Grangettes, mais en lien avec d'autres parcelles, ne peut non plus fonder une violation de son devoir de se renseigner qui pourrait aujourd'hui lui être opposé.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La municipalité se prévaut encore de l'arrêt rendu par la CDAP le 24 décembre 2015 (AC.2015.0026).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Au demeurant, contrairement à ce qu'invoque la municipalité,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Il s'ensuit que, bien que formé plusieurs années après leur prononcé, le recours contre les décisions des 30 janvier et 8 février 2018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L'OFEV s'oppose à la délivrance de l'autorisation de construire litigieuse au motif qu'elle serait contraire à la protection instaurée par plusieurs inventaires fédéraux, au périmètre desquels appartient la parcelle n° 892. Il invoque à cet effet l'inventaire des sites marécageux d'une beauté particulière et d'importance nationale n° 289 (ISM) et l'inventaire fédéral des sites de reproduction de batraciens d'importance nationale n° VD21 (IBN), tous deux désignés sous l'appellation "Les Grangettes". Dans son recours, l'OFEV déclare qu'il conteste la décision municipale rendue, ainsi que la synthèse du 30 janvier 2018 établie par la CAMAC. Or cette synthèse contenait plusieurs autorisations des instances cantonales sans que l'OFEV ne précise clairement la décision qu'il souhaite entreprendre. Au vu des motifs invoqués à l'appui de son recours, le Tribunal considère qu'il conteste manifestement les autorisations spéciales délivrées par la DGTL et la DGE/DIRNA/BIODIV, à l'exclusion des décisions prises par l'ECA ou les autres sections de la DGE. Pour la municipalité et les constructeurs, les travaux litigieux ne portent atteinte ni au paysage, ni aux éléments et structures caractéristiques du site marécageux, et ne portent pas atteinte à un site de reproduction des batraciens. La DGE et la DGTL relèvent que la parcelle n° 892 se situe dans un "Territoire occupé par les constructions isolées et leurs abords" et que cette zone est construite de longue date; la DGTL précise que le bâtiment ECA n° 391 a été érigé bien avant la date de référence du 1 er janvier 1972 et qu'elle a estimé qu'elle bénéficiait de la garantie de la situation acquise et pouvait faire l'objet de rénovation, de transformation partielle, d'agrandissement mesuré ou de reconstruction au sens de l'art. 24c al. 2 LAT. S'agissant des batraciens, la DGE relève encore que les aménagements litigieux ne sont pas de nature à occasionner une atteinte supplémentaire à la fonctionnalité du biotope ni à faire obstacle à la migration des batraciens.</w:t>
      </w:r>
    </w:p>
    <w:p>
      <w:r>
        <w:rPr>
          <w:b/>
        </w:rPr>
        <w:t>E. 5</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d) L'habitation contestée ne poursuit pas un but d'exploitation agricole ou sylvicole ni ne constitue une mesure visant à protéger l'homme contre les catastrophes naturelles. Les cas prévus à l'art. 23d al. 2 let. a, c et d LPN ne sont donc manifestement pas applicables à la présente situation. La villa litigieuse n'a pas d'autre justification que celle d'offrir une habitation personnelle à ses propriétaires - ainsi qu'à leurs locataires - et ne poursuit donc pas un but d'importance nationale au sens de l'art. 5 al. 2 let. d OSM. Sur la base du permis de construire litigieux, la construction en cause a notamment fait l'objet d'importantes transformations intérieures qui ont conduit à une augmentation de la surface habitable: en effet, celle-ci est passée de 180.4 m 2 à 248.85 m 2 à la faveur notamment de la transformation du garage existant à l'angle nord-est du rez-de-chaussée en deux chambres. Le volume du bâtiment a par ailleurs été augmenté du fait du rehaussement de la toiture des combles de 45 centimètres. Le niveau des combles a en outre été entièrement enlevé et reconstruit à neuf. Ces aménagements ne constituent manifestement pas un simple entretien de la construction. Ils ne sauraient non plus être assimilés à une rénovation au sens de la jurisprudence citée plus haut. Ces travaux constituent en réalité des éléments de plus-value pour la construction existante, avec pour conséquence que le gabarit, l'utilisation et l'aspect du bâtiment s'en trouvent modifiés après intervention. En outre, la suppression de deux annexes et leur "remplacement" par une seule annexe, de gabarit plus important, quand bien même d'une surface totale identique, constitue une (démolition et) nouvelle construction contraire à la protection des sites marécageux. Vu leur nature et hormis l'isolation périphérique qui pourrait vraisemblablement être admise à titre d'assainissement énergétique, ces aménagements ne respectent pas les conditions de l'art. 23d al. 2 let. b LPN, qui prohibe la transformation, respectivement la rénovation augmentant la durée de vie normale d'un immeuble dans le périmètre des sites marécageux d'importance nationale. Dans ces conditions, les travaux litigieux s'opposent à l'interdiction de bâtir consacrée par les art. 78 al. 5 Cst. et 23d LPN dans les sites marécageux d'importance nationale. Contraires aux objectifs de protection, ils n'auraient donc pas dû être autorisés, indépendamment des autres intérêts en jeu. Il en résulte que le permis de construire doit être annulé.</w:t>
      </w:r>
    </w:p>
    <w:p>
      <w:r>
        <w:rPr>
          <w:b/>
        </w:rPr>
        <w:t>E. 6</w:t>
      </w:r>
    </w:p>
    <w:p>
      <w:r>
        <w:t>A cela s'ajoute que la construction litigieuse entre en conflit avec la protection découlant d'un autre inventaire régissant le périmètre, à savoir l'inventaire fédéral des sites de reproduction de batraciens d'importance nationale, tel que cela découle des considérations qui suivent. a) Selon l'art. 18 al. 1 LPN, "la disparition d'espèces animales et végétales indigènes doit être prévenue par le maintien d'un espace vital suffisamment étendu (biotopes), ainsi que par d'autres mesures appropriées". S'agissant des mesures générales de sauvegarde des biotopes dignes de protection, l'art. 18 al. 1 ter LPN dispose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l'art. 14 al. 7 OPN). Selon la lettre de l'art. 18 al. 1 ter in fine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e étape). Si, sur cette base, le biotope ne l'emporte pas, il peut être décidé de lui porter atteinte. Dans un tel cas, il faut en assurer la meilleure protection possible, la reconstitution ou le remplacement adéquat (3 e étape) (arrêt TF 1C_182/2022 du 20 octobre 2023 consid. 11.1). Exceptionnellement, lorsque de nombreux intérêts entrent en ligne de compte, il peut être judicieux de prendre en considération, au stade de la pesée des intérêts déjà, les effets sur le long terme, à savoir la situation finale, après la mesure de reconstitution (arrêts TF 1C _126/2020 du 15 février 2021 consid. 6.1; 1C _294/2017 du 4 mai 2018 consid. 5.6.2; Sidi-Ali, op. cit., p. 123). La protection des biotopes n'a ainsi pas de caractère absolu: ils sont soumis à une pesée des intérêts qu'ils n'emportent pas aveuglément ( Sidi-Ali, op. cit., ch. 3.1.4.2 p. 119 et la référence citée, soit Arnold Marti, Das Schutzkonzept des Natur- und Heimatschutzgesetzes auf dem Prüfstand, in RSJ 2008 p. 81 ss, spéc. p. 84 ss; Fahrländer, Commentaire LPN, 2 e éd., Zurich/Bâle/Genève 2019, n. 28 ad art. 18a LPN). Dans la pesée des intérêts, l'appréciation doit intégrer l'affectation planifiée du terrain en cause; l'issue de la pesée des intérêts n'est donc pas la même, pour des biotopes de valeur équivalente, selon que le milieu se trouve en zone à bâtir ou non, l'atteinte d'ordre technique pouvant donc plus facilement être admise sur une parcelle constructible (TF 1C_126/2020 du 15 février 2021 consid. 6.1; Sidi-Ali, op. cit., p. 105). b) La législation fédérale contient également des prescriptions spéciales pour les biotopes que le Conseil fédéral a désignés comme étant d'importance nationale (cf. art. 18a LPN , art. 16 et 17 OPN ), les cantons devant cependant aussi veiller à la protection et à l'entretien des biotopes d'importance régionale et locale ( art. 18b LPN ). Aux termes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Il ne peut être garanti à un propriétaire d'utiliser la totalité des possibilités de construire découlant du règlement communal des constructions en présence d'un biotope, même d'importance régionale (TF 1C_126/2020 du 15 février 2021 consid. 6.2.3). c) L'OBat a également été adoptée en application des art. 18a al. 1 et 3 LPN. L'OBat distingue les objets fixes et les objets itinérants (art. 1 al. 2). Selon l'art. 2 OBat, les objets fixes comprennent le plan d'eau de reproduction et des surfaces naturelles et quasi naturelles attenantes (secteur A) ainsi que d'autres habitats terrestres et corridors de migration des batraciens (secteur B). Il appartient aux cantons de fixer les limites précises des objets fixes (art. 5 al. 1 OBat). Les cantons disposent d'un délai de sept ans pour s'exécuter (art. 9 OBat). Tant qu'ils n’ont pas pris de mesures de protection et d’entretien, ils veillent, par des mesures immédiates appropriées, à ce que l’état des objets fixes ne se détériore pas et à ce que la fonctionnalité des objets itinérants soit conservée (art. 10 OBat). Si la délimitation n'a pas encore eu lieu, l’autorité cantonale prend, sur demande, une décision de constatation de l’appartenance d’un bien-fonds à un objet protégé (art. 5 al. 3 OBat). En vertu de l'art. 6 OBat, 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l’objet en tant que site de reproduction de batraciens (let. a); les populations de batraciens qui donnent à l’objet sa valeur (let. b); l’objet en tant qu’élément du réseau de biotopes (let. c) (al. 2). Si la conservation et la valorisation des populations de diverses espèces de batraciens s’excluent, les priorités définies dans la description des objets sont applicables (al. 3). L'art. 7 OBat fixe les dérogations possibles aux buts de protection. Pour les objets fixes, de telles dérogations ne sont admises que pour des projets dont l’emplacement s’impose par leur destination et qui servent un intérêt public prépondérant d’importance nationale également. Celui qui déroge aux buts de la protection doit être tenu de prendre toutes mesures possibles pour assurer la protection, la reconstitution ou, à défaut, le remplacement adéquat. L'art. 11 OBat prescrit que les cantons veillent, chaque fois que l’occasion se présente, à ce que les atteintes déjà portées à l’objet soient réparées dans la mesure du possible. Les sites de reproduction des batraciens sont aussi considérés comme des biotopes. A ce titre, leur protection n'est pas absolue et est soumise à une pesée des intérêts en présence (Fahrländer, op. cit., n. 29 ad art. 18a LPN). Selon le Guide d'application de l'IBN publié par l'OFEFP en 2002, dans le secteur A, la protection de la nature est strictement prioritaire par rapport aux autres utilisations (p. 14). Outre les plans d'eau, les habitats terrestres sont également importants (p. 23). d) Dans le cas présent, la parcelle litigieuse est sise à l'intérieur du secteur B de l'inventaire des sites de reproduction des batraciens d'importance nationale (IBN) n° VD21 depuis 2001. Selon cet inventaire, huit catégories d'amphibiens font l'objet d'un peuplement décrit comme allant d'une taille moyenne à une très grande taille dans la zone. La municipalité semble vouloir tirer argument du fait que la parcelle litigieuse n'a été classée à l'inventaire cantonal des sites de reproduction de batraciens que le 1 er novembre 2017, de sorte que les limites précises des objets fixes protégés par l'inventaire fédéral n'auraient pas pu être définies avant cette date. En réalité, on observe que la délimitation des secteurs A et B de l'inventaire cantonal est identique à celle fixée par l'IBN et que la partie construite de la parcelle litigieuse se situe clairement à l'intérieur du secteur B, de sorte que le canton a confirmé le bien-fondé des délimitations posées par l'IBN. A ce sujet, le Tribunal fédéral a de toute façon jugé que l'absence de délimitation précise par le canton, alors que celui-ci était tenu de le faire au maximum dans les sept ans dès l'adoption de l'inventaire fédéral (délai que le canton de Vaud n'a au demeurant pas respecté en l'espèce), n'avait pas d'incidence sur le fait que l'examen de l'autorisation litigieuse devait se faire sous l'angle des buts de protection de l'art. 6 OBat puisque la parcelle se situait dans le périmètre de l'IBN (ATF 146 II 376 consid. 4.4-4.5). Le secteur protégé par l'IBN est ici caractérisé par de grandes populations d'amphibiens, notamment de crapauds communs, de grenouilles rousses, de tritons alpestres et de sonneurs à ventre jaune. Les objets fixes ne sont pas constitués que des plans d'eau, mais aussi des surfaces naturelles et quasi naturelles attenantes (art. 2 OBat). L'augmentation de l'occupation de la parcelle par les aménagements extérieurs (agrandissement autorisé de la terrasse par rapport à la zone précédemment dallée, à l'ouest) a réduit la part de la surface d'habitat terrestre mise à disposition des amphibiens. Cette modification est contraire au but de conservation intact des objets fixes prescrit par l'art. 6 al. 1 OBat. La transformation de la maison a conduit à sa mise en location pour des séjours de courte durée. L'OFEV peut être suivi lorsqu'il voit dans la location de la villa à des tiers - même occasionnelle - un risque de pression supplémentaire sur le milieu et la faune qui l'habite. Il paraît en effet plus difficile de garantir que des locataires présents pour une durée limitée prennent tous dans la même proportion la mesure des impacts possibles de leurs comportements sur la faune présente aux alentours de la villa. Le risque de débordements à cet égard semble donc accru. Au surplus, une fois de plus, la transformation de la villa ne sert pas un intérêt public d'importance nationale de sorte qu'elle ne pourrait de toute façon pas être autorisée dans la pesée préstructurée des intérêts prescrite par l'art. 7 OBat. C'est également le lieu de relever qu'il a été constaté lors de l'inspection locale que les constructeurs ont construit une terrasse au sud du bâtiment, à proximité immédiate du bas-marais, alors que la DGE l'avait expressément prohibé dans la synthèse CAMAC; quand bien même une zone bétonnée se trouvait déjà à cet endroit, il ressort des plans que la terrasse actuelle présente une surface largement supérieure. La zone gravillonnée au nord a également été largement agrandie sans autorisation, limitant là aussi la surface naturelle à disposition des batraciens. Ce dernier point n'est toutefois pas l'objet des décisions litigieuses.</w:t>
      </w:r>
    </w:p>
    <w:p>
      <w:r>
        <w:rPr>
          <w:b/>
        </w:rPr>
        <w:t>E. 7</w:t>
      </w:r>
    </w:p>
    <w:p>
      <w:r>
        <w:t>La garantie de la propriété (art. 26 Cst.) n'est pas absolue et doit ici céder le pas devant les intérêts contraires à la sauvegarde du site marécageux et des batraciens qu'il accueille. L'interdiction d'agrandir la surface bâtie et la surface consacrée au logement et d'effectuer des travaux dépassant la rénovation constitue par ailleurs une mesure appropriée, nécessaire et proportionnée pour remédier à l'aggravation de l'atteinte au site marécageux. Au final, pour tous les motifs qui précèdent et en raison de la force dérogatoire du droit fédéral (art. 49 Cst.), l’existence d’une planification cantonale renvoyant à la législation applicable à la zone agricole n’a pas d’incidence sur le résultat de l’examen des conditions légales applicables au site marécageux protégé et à ses biotopes. C'est ainsi en violation de l'art. 78 al. 5 Cst., de ses dispositions d'application, en particulier l'art. 23d LPN, et de celles régissant notamment l'inventaire fédéral des sites de reproduction des batraciens que le permis de construire contesté a été délivré. Il en résulte que les transformations litigieuses sont matériellement illégales, qu'elles n'auraient pas dû être autorisées et que le permis de construire doit être annulé.</w:t>
      </w:r>
    </w:p>
    <w:p>
      <w:r>
        <w:rPr>
          <w:b/>
        </w:rPr>
        <w:t>E. 8</w:t>
      </w:r>
    </w:p>
    <w:p>
      <w:r>
        <w:t>L'OFEV conclut encore à la remise en état intégrale de la parcelle concernée, à savoir la suppression " des changements apportés à la parcelle n° 892 ". La municipalité, la DGE, la DGTL, ainsi que les constructeurs s'y opposent, arguant du fait que cela violerait le principe de la proportionnalité et de la bonne foi. Le présent recours est dirigé contre les décisions spéciales cantonales du 30 janvier 2018 et l'autorisation de construire délivrée le 8 février 2018, dont on a vu qu'elles étaient illégales et doivent donc être réformées.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w:t>
      </w:r>
    </w:p>
    <w:p>
      <w:r>
        <w:rPr>
          <w:b/>
        </w:rPr>
        <w:t>E. 9</w:t>
      </w:r>
    </w:p>
    <w:p>
      <w:r>
        <w:t>Les considérants qui précèdent conduisent à l'admission du recours et à la réforme des décisions attaquées en ce sens qu'aussi bien les autorisations cantonales spéciales que l'autorisation de construire municipale ne sont pas délivrées.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obtient gain de cause sur le principe. Sa conclusion tendant à la remise en état est toutefois irrecevable. Par conséquent, un émolument de justice réduit d'un quart sera mis à la charge des constructeurs, qui succombent s'agissant de l'autorisation de construire. Le solde de l'émolument restera à la charge de l'Etat puisqu'aucuns frais ne peuvent être exigés de la Confédération (art. 52 al. 1 LPA-VD). Succombant partiellement, l'OFEV versera des dépens réduits aux constructeurs. La municipalité, dont la décision est entièrement annulée,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