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AC.2023.0423 vom 31. März 2025</w:t>
      </w:r>
    </w:p>
    <w:p>
      <w:r>
        <w:t>VD Tribunal cantonal, 2025-03-31, FR</w:t>
      </w:r>
    </w:p>
    <w:p>
      <w:r>
        <w:rPr>
          <w:b/>
        </w:rPr>
        <w:t xml:space="preserve">Quelle: </w:t>
      </w:r>
      <w:r>
        <w:t>https://mcp.opencaselaw.ch/entscheid/vd_omni_AC.2023.0423</w:t>
      </w:r>
    </w:p>
    <w:p>
      <w:r>
        <w:t>FR: VD_OMNI AC.2023.0423 du 31 mars 2025</w:t>
      </w:r>
    </w:p>
    <w:p>
      <w:r>
        <w:t>IT: VD_OMNI AC.2023.0423 del 31 marzo 2025</w:t>
      </w:r>
    </w:p>
    <w:p>
      <w:pPr>
        <w:pStyle w:val="Heading2"/>
      </w:pPr>
      <w:r>
        <w:t>Regeste</w:t>
      </w:r>
    </w:p>
    <w:p>
      <w:r>
        <w:t>Office fédéral de l'environnement OFEV/Municipalité de Noville, Direction générale du territoire et du logement, Direction générale de l'environnement DGE-BIODIV, A.________, B.________ | Transformation/reconstruction d'un bâtiment existant sur une parcelle figurant à l'inventaire des sites marécageux d'une beauté particulière et d'importance nationale (Grangettes). Recours déposé par l'OFEV contre le permis de construire et les autorisations cantonales rendus 9 ans auparavant. Qualité pour agir de l'OFEV reconnue (consid. 2). Recevabilité du recours admise en raison de l'existence d'une obligation, non respectée en l'espèce, de notification de cette décision à l'OFEV et au vu des intérêts en jeu (consid. 3). Constat de la nullité du permis faute d'autorisation de l'ancien SDT, la parcelle étant située hors zone à bâtir (hameau des Grangettes) (consid. 4). Rappel du régime légal strict découlant de l'art. 78 al. 5 Cst.; s'agissant d'une reconstruction, elle n'aurait pas dû être autorisée dans le site marécageux (consid. 7). Conflit avec la protection découlant d'un autre inventaire (réserve d'oiseaux d'eau et migrateurs; consid. 8). Irrecevabilité de la conclusion tendant à la remise en état, qui n'est pas l'objet de la décision attaquée (consid. 11). Recours admis dans la mesure de sa recevabilité, annulation de l'autorisation de la DGE et constat que l'autorisation municipale est nulle. Recours pendant au TF 1C_250/2025.</w:t>
      </w:r>
    </w:p>
    <w:p>
      <w:pPr>
        <w:pStyle w:val="Heading2"/>
      </w:pPr>
      <w:r>
        <w:t>Erwägungen</w:t>
      </w:r>
    </w:p>
    <w:p>
      <w:r>
        <w:rPr>
          <w:b/>
        </w:rPr>
        <w:t>E. 1</w:t>
      </w:r>
    </w:p>
    <w:p>
      <w:r>
        <w:t>Le recours formé par l'OFEV est dirigé à l'encontre de la décision de la municipalité le 24 juillet 2013 délivrant une autorisation de construire et à l'encontre de la synthèse CAMAC comprenant les autorisations spéciales délivrées par les instances cantonales le 17 juillet 2013. Le Tribunal examinera tout d'abord la recevabilité du recours.</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de la loi fédérale du 22 juin 1979 sur l'aménagement du territoire (LAT; RS 700) (ATF 112 Ib 70 consid. 4b). L'autorisation de défrichement est expressément mentionnée à l'art. 2 al. 1 let. b LPN (ATF 121 II 190 consid. 3c/cc). La protection des biotopes selon les art. 18 ss LPN est une tâche fédérale confiée aux cantons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la protection des marais et des sites marécageux d'une beauté particulière et d'importance nationale (ATF 118 Ib 11 consid. 2e) ainsi que des mammifères et des oiseaux sauvages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al. 1 de la loi du 4 décembre 1985 sur l’aménagement du territoire et les constructions (LATC; BLV 700.11)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sont datés de plus de 9 ans au moment du dépôt du recours. A ce sujet, l'OFEV se prévaut de l'absence totale de notification des actes litigieux, qui ne lui auraient été communiqués qu'à sa demande le 2 novembre 2023, en violation en particulier des art. 24g LPN, 27 al. 2 let. e et f OPN et 46 OAT. Il convient dès lors de se pencher sur l'existence d'une obligation de notification des autorisations cantonales spéciales et du permis de construire.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zom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En l'espèce, lors de l'octroi du permis de construire en 2013, l'art. 27 al. 2 let. e OPN était applicable et les autorités vaudoises étaient donc en principe tenues de notifier leurs décisions à l'OFEV. La municipalité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par courriel le 2 novembre 2023. En particulier, le fait que divers arrêts aient été rendus précédemment par la CDAP concernant le secteur des Grangettes, mais en lien avec d'autres parcelles du site, ne peut pas fonder une violation de son devoir de se renseigner qui pourrait aujourd'hui être opposée à l'OFEV.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Il en est de même s'agissant de l'arrêt rendu par la CDAP le 24 décembre 2015 (AC.2015.0026) dont se prévaut la municipalité.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Au surplus, contrairement à ce que soutiennent les constructeurs, il n'est pas pertinent que l'OFEV ait eu connaissance du contenu du PAC n° 291 dans le cadre de son intervention dans la procédure de recours au Tribunal fédéral de 1999 au sujet du chantier naval (voir arrêt du TF 1A.14/1999 du 7 mars 2000, publié sous la référence cantonale AC.1998.0067). Le PAC ne pose pas de règlementation de détail et n'apparait pas manifestement contraire au droit fédéral s'agissant des prescriptions qu'il pose pour le secteur du hameau des Grangettes, au demeurant pas au cœur de l'affaire soumise au Tribunal fédéral. Il est encore relevé que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Il s'ensuit que, bien que formé plusieurs années après leur prononcé, le recours contre les décisions des 17 et 24 juillet 2013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La DGTL considère que le permis de construire octroyé le 24 juillet 2013 est nul faute de délivrance d'une autorisation spéciale par l'autorité cantonale compétente pour les constructions hors zone à bâtir. a) Au sens de l'art. LAT, aucune construction ou installation ne peut être créée ou transformée sans autorisation de l'autorité compétente (al. 1). L'autorisation est délivrée si (al. 2) la construction ou l'installation est conforme à l'affectation de la zone (let. a) et si le terrain est équipé (let. b). L'art. 103 LATC prévoit qu'aucun travail de construction ou de démolition, en surface ou en sous-sol, modifiant de façon sensible la configuration, l'apparence ou l'affectation d'un terrain ou d'un bâtiment, ne peut être exécuté avant d'avoir été autorisé (al. 1). Aux termes de l'art. 25 al. 2 LAT, pour tous les projets de construction situés hors de la zone à bâtir, l'autorité cantonale compétente décide si ceux-ci sont conformes à l'affectation de la zone ou si une dérogation peut être accordée.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 art. 81 al. 1 et 121 let. a LATC). Dans le canton de Vaud, la DGTL (respectivement l'ancien SDT dans le cas présent) est l'autorité compétente selon l'art. 25 al. 2 LAT pour décider si les projets situés hors de la zone à bâtir sont conformes à l'affectation de la zone ou si une dérogation peut être accordée (cf. art. 4 al. 3 let. a LATC). Sans autorisation cantonale préalable, un permis de construire délivré par une commune hors de la zone à bâtir ne peut déployer aucun effet. Il est radicalement nul (ATF 132 II 21 consid. 3.2.2; 111 Ib 213 consid. 5; TF 1C_537/2011 du 26 avril 2012 consid. 2.2.1; CDAP AC.2019.0203 du 2 juin 2020 consid. 3a et les références citées). b) La construction litigieuse est sise en zone de hameaux. Il convient d'examiner en premier lieu le régime juridique qui est applicable à cette zone. aa) Selon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et ainsi subdiviser, modifier, combiner et compléter les types de base du droit fédéral (zone de construction, zone agricole et zone de protection). Toutefois, ces zones doivent respecter la distinction fondamentale entre les zones constructibles et non constructibles et donc être affectées soit à la zone à bâtir, soit à la zone qui n'est pas à bâtir (cf. ATF 143 II 588 consid. 2.5.1 in RDAF 2018 I 351; cf. aussi Muggli, in Aemisegger, Moor, Ruch, Tschannen [éds], Commentaire pratique LAT: planifier l'affectation, 2016, n° 11 ad art. 18 LAT). Cela étant, le terme de zone "à bâtir" ne doit pas faire croire, par opposition, qu'il est impossible de construire dans les zones qui ne sont pas "à bâtir". Dans ces dernières, les constructions ne sont pas exclues a priori , mais ne sont admises que si elles sont conformes à l'affectation de la zone – art. 22 LAT –, ou que si leur implantation est imposée par leur destination, et encore à la condition qu'aucun intérêt prépondérant ne s'y oppose – art. 24 LAT – (cf. CDAP AC.2019.0049 du 2 juillet 2020 consid. 2b/cc et les nombreuses références citées). Des zones nouvellement définies au sens de l' 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 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 art. 15 LAT et, sous réserve de leur affectation spécifique, obéissent au régime de la zone non constructible (TF 1C_483/2012 du 30 août 2013 consid. 3.2 et références citées). bb) La possibilité, pour les cantons, de délimiter des zones de hameaux a été introduite dans l'ordonnance sur l'aménagement du territoire du 2 octobre 1989, entrée en vigueur le 20 octobre 1989 (aOAT; RO 1989 p. 1985). L'art. 23 aOAT avait en effet la teneur suivante: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Cette norme - qui correspond, depuis le 1er septembre 2000, à l'actuel art. 33 OAT - avait été conçue pour s'appliquer aux petites entités urbanisées qui devaient clairement être distinguées des véritables villages; c'est pourquoi, dans le titre de l'art. 23 aOAT, il était indiqué que ces entités se trouvaient "hors de la zone à bâtir". Néanmoins, le renvoi à l'art. 18 LAT signifiait que ces zones spéciales pouvaient être soit des zones à bâtir (art. 15 LAT), soit des zones agricoles (art. 16 LAT), soit des zones à protéger (art. 17 LAT), les cantons étant chargés de concevoir les solutions adéquates, en prévoyant le cas échéant des régimes mixtes, certaines parcelles ou parties de parcelles étant soumises à une réglementation de zone à bâtir et d'autres à une réglementation de zone non constructible (cf. Bandli/Bühlmann/Nicati/Tschannen, Zur neuen Raumplanungs-verordnung des Bundes, BR/DC 1990 p. 24). Une zone de hameau peut être qualifiée de "zone à bâtir particulière ou à constructibilité restreinte" (cf. Muggli, Commentaire pratique LAT: Planifier l'affectation, Zurich 2016, n. 24 ad art. 18 LAT). Dans le canton de Vaud, le législateur avait adopté l'art. 50a LATC, introduit par la loi du 4 février 1998, puis modifié le 16 août 2002, et enfin abrogé avec effet au 1 er septembre 2018, qui prévoyait que les communes pouvaient définir des zones spéciales,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Depuis le 1 er septembre 2018, les autres zones selon l'art. 18 al.1 LAT sont régies par l'art. 32 LATC qui dispose que les plans peuvent contenir d'autres zones, notamment celles du domaine public destinées à la réalisation d'espaces publics pour les véhicules et les piétons (al. 1) et qu'ils peuvent prévoir des zones spéciales destinées à des activités spécifiques prévues dans le cadre du plan directeur cantonal (al. 2). cc) Selon l’art. 17 al. 1 LAT, les zones à protéger comprennent les cours d’eau, les lacs et leurs rives (let. a); les paysages d’une beauté particulière, d’un grand intérêt pour les sciences naturelles ou d’une grande valeur en tant qu’éléments du patrimoine culturel (let. b); les localités typiques, les lieux historiques, les monuments naturels ou culturels (let. c); les biotopes des animaux et des plantes dignes d’être protégés (let. d) (voir aussi art. 31 LATC). Comme les zones spéciales de l'art. 18 LAT, les zones à protéger de l'art. 17 LAT peuvent se superposer à d'autres zones d'affectation (art. 15, 16 ou 18 LAT) et appartenir ou non à la zone à bâtir (Jeannerat/Moor, Commentaire pratique LAT: Planifier l'affectation, Zurich 2016, n. 9 ad art. 17 LAT). c) En l’occurrence, le hameau des Grangettes s'inscrit à l'intérieur d'un site marécageux d'importance nationale, qui est en principe inconstructible. Il se situe dans une zone d'un grand intérêt environnemental, concernée par plusieurs inventaires fédéraux et biotopes d'importance nationale. A ce titre, il répond à la définition de zone à protéger au sens de l'art. 17 LAT. En sus de cette affectation, le hameau constitue également une zone spéciale selon l'art. 18 LAT (voir la mesure C22 du Plan directeur cantonal consacrée aux petites entités urbanisées [hameaux]). Il est composé d'une dizaine de constructions à usage d'habitation, ainsi que de quelques annexes. Il constitue donc un petit noyau de bâtiments relativement compacts, mais isolés de toutes autres constructions, hormis la zone de camping située directement à l'ouest. Il est implanté en bordure directe de la rive du lac, à l'écart de toute agglomération, infrastructure publique (écoles, transports publics) ou services (commerces, etc.), et constitue à ce titre une incongruité construite au milieu du site protégé des Grangettes. Son affectation en zone de hameau par le PAC n° 291, reprise par le PPA des Grangettes, avait manifestement pour but de régulariser les constructions existantes qui étaient par ailleurs non conformes aux buts de protection cumulés des inventaires fédéraux régissant le site. Le simple fait que le PPA reconnaisse la légalité des constructions et pose des prescriptions à bâtir particulières, distinctes de celles régissant la zone agricole (art. 16a ss LAT) ou des art. 24 ss LAT, ne signifie pas encore que l'on se trouve en zone constructible au sens de l'art. 15 LAT. Bien au contraire, le sens de la zone spéciale telle que conçue par les planificateurs communal et cantonal avait ici pour but d'échapper aux prescriptions des art. 24 ss LAT afin de poser un régime de conformité à la zone de non bâtir différent de celui prescrit à défaut par la LAT. Quant à l'art. 23 RPPA, qui habilite la municipalité, dans le cadre des art. 85 et 85a LATC (relatifs aux dérogations en zone à bâtir), à autoriser des dérogations au règlement pour autant que des motifs d'intérêt public ou des circonstances objectives le justifient, il ne saurait à lui seul fonder le caractère constructible de la zone (voir TF 1C_483/2012 du 30 août 2013 consid. 3.3). On pourrait aussi se demander si cet article n'est pas contraire au droit fédéral, question qui peut toutefois demeurer indécise dans le cadre de la présente procédure. d) Comme on l'a vu ci-dessus, l'art. 25 al. 2 LAT exige que, pour tous les projets de construction situés hors de la zone à bâtir, l'autorité cantonale compétente décide si ceux-ci sont conformes à l'affectation de la zone ou si une dérogation peut être accordée. Il importe ainsi peu que le projet soit ou non conforme aux prescriptions du RPPA régissant la zone de hameau. Même en cas d'autorisation délivrée dans le cadre de l'art. 22 LAT, la décision appartient à l'autorité cantonale. Seule la qualification de la zone, en l'occurrence inconstructible, est déterminante. Dans le cas présent, le questionnaire de demande du permis de construire indiquait que la construction n'était pas située hors des zones à bâtir. Le projet n'a donc pas été soumis à autorisation du SDT. La synthèse CAMAC du 17 juillet 2013 ne contenait aucune détermination de ce service et encore moins de décision de sa part au titre d'autorité compétente pour les constructions hors zone à bâtir. Dans ces conditions, force est de constater que l'autorisation de construire délivrée par la municipalité est nulle de plein droit. e) Les constructeurs estiment que la situation doit être jugée à l'aune des conditions applicables à la révocation des décisions (voir, par exemple, pour un rappel des principes applicables à la révocation des décisions: arrêt TF 2C_438/2016 du 11 janvier 2017 consid. 5.1). Or il ne s'agit pas ici d'un cas de révocation d'une décision par l'autorité qui l'a initialement rendue, mais d'un cas de nullité absolue, constatée par une autorité de recours. Selon la jurisprudence constante rappelée ci-dessus (voir consid. 4a), la sanction de la nullité est une conséquence du principe cardinal de séparation du bâti et du non bâti, qui constitue un intérêt public majeur et prépondérant.</w:t>
      </w:r>
    </w:p>
    <w:p>
      <w:r>
        <w:rPr>
          <w:b/>
        </w:rPr>
        <w:t>E. 5</w:t>
      </w:r>
    </w:p>
    <w:p>
      <w:r>
        <w:t>Indépendamment de la nullité du permis de construire litigieux, il découle des considérants qui suivent que les décisions entreprises devraient de toute façon être annulées pour les motifs développés ci-dessous.</w:t>
      </w:r>
    </w:p>
    <w:p>
      <w:r>
        <w:rPr>
          <w:b/>
        </w:rPr>
        <w:t>E. 6</w:t>
      </w:r>
    </w:p>
    <w:p>
      <w:r>
        <w:t>L'OFEV s'oppose à la délivrance de l'autorisation de construire litigieuse au motif qu'elle serait contraire à la protection instaurée par plusieurs inventaires fédéraux, au périmètre desquels appartient la parcelle litigieuse. Il invoque à cet effet plus particulièrement l'inventaire des sites marécageux d'une beauté particulière et d'importance nationale n° 289 (ISM) et l'inventaire fédéral des réserves d'oiseaux d'eau et de migrateurs d'importance internationale et nationale n° 8 (IROEM), tous deux désignés sous l'appellation "Les Grangettes". Dans son recours, l'OFEV déclare qu'il conteste la décision municipale rendue, ainsi que la synthèse du 17 juillet 2013 par la CAMAC. Or cette synthèse contenait plusieurs autorisations des instances cantonales sans que l'OFEV ne précise clairement la décision qu'il souhaite entreprendre. Au vu des motifs invoqués à l'appui de son recours, le Tribunal considère qu'il conteste manifestement l'autorisation spéciale délivrée par la DGE/DIRNA/BIODIV, à l'exclusion des décisions prises par l'ECA ou les autres divisions de la DGE.</w:t>
      </w:r>
    </w:p>
    <w:p>
      <w:r>
        <w:rPr>
          <w:b/>
        </w:rPr>
        <w:t>E. 7</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d) L'habitation contestée ne poursuit pas un but d'exploitation agricole ou sylvicole ni ne constitue une mesure visant à protéger l'homme contre les catastrophes naturelles. Les cas prévus à l'art. 23d al. 2 let. a, c et d LPN ne sont donc manifestement pas applicables à la présente situation. Tel que l'a révélé l'instruction de la cause, la villa présente sur la parcelle litigieuse constitue en réalité une nouvelle construction. L'entier de l'enveloppe du bâtiment existant précédemment, murs porteurs et toit compris, hormis une partie mineure de la façade sud-est, a été démoli et a fait l'objet d'une reconstruction. Dans ce cadre, le gabarit antérieur du bâtiment n'a de surcroît pas été entièrement respecté; la surface bâtie a été légèrement agrandie au niveau du corps principal du bâtiment et l'emprise au sol clairement étendue à l'endroit des anciens appentis; le toit a fait l'objet d'une élévation, tout au moins au niveau de la nouvelle lucarne. Si les constructeurs ont manifestement été attentifs à respecter en partie le caractère antérieur du bâtiment au niveau de la façade sud-est, les autres pans du bâtiment présentent un aspect totalement nouveau, sans rapport avec la construction précédente. Dans ces conditions, il est manifeste que la villa litigieuse ne respecte pas les conditions de l'art. 23d al. 2 let. b LPN, qui prohibe la reconstruction, respectivement la rénovation lourde augmentant la durée de vie normale d'un immeuble dans le périmètre des sites marécageux d'importance nationale. En outre, la construction litigieuse n'a pas d'autre justification que celle d'offrir une habitation personnelle à ses propriétaires et ne poursuit donc pas un but d'importance nationale au sens de l'art. 5 al. 2 let. d OSM. Les modifications apportées aux extérieurs du bâtiment, en particulier les plantations non indigènes, les bacs et les revêtements de sol ne sont pas non plus compatibles avec la zone protégée dès lors qu'ils s'éloignent singulièrement des caractéristiques du paysage typique du site marécageux. Dans ces conditions, la construction litigieuse s'oppose à l'interdiction de bâtir consacrée par les art. 78 al. 5 Cst. et 23d LPN dans les sites marécageux d'importance nationale. Contraire aux objectifs de protection, elle n'aurait donc pas dû être autorisée, indépendamment des autres intérêts en jeu. e) Au final, pour les motifs qui précèdent et en raison de la force dérogatoire du droit fédéral (art. 49 Cst.), l’existence d’une planification cantonale autorisant les constructions sur la parcelle en question n’a pas d’incidence sur le résultat de l’examen des conditions légales applicables au site marécageux protégé. Il en résulte que les planificateurs communal et cantonal n'avaient pas adéquatement tenu compte des intérêts en présence pour élaborer le PPA du Hameau des Grangettes. C'est ainsi en violation de l'art. 78 al. 5 Cst., de ses dispositions d'application, en particulier l'art. 23d LPN, et de celles régissant les inventaires fédéraux pertinents que le permis de construire contesté a été délivré. Il en résulte que la construction litigieuse est matériellement illégale, qu'elle n'aurait pas dû être autorisée et que le permis de construire, indépendamment de la question de sa nullité, devrait être annulé.</w:t>
      </w:r>
    </w:p>
    <w:p>
      <w:r>
        <w:rPr>
          <w:b/>
        </w:rPr>
        <w:t>E. 8</w:t>
      </w:r>
    </w:p>
    <w:p>
      <w:r>
        <w:t>A cela s'ajoute que la construction litigieuse entre en conflit avec la protection des oiseaux d'eau et migrateurs. a) L'art. 1 er al. 1 let. a de la loi fédérale du 20 juin 1986 sur la chasse et la protection des mammifères et oiseaux sauvages (Loi sur la chasse, LChP; RS 922.0) prévoit que la diversité des espèces et celle des biotopes des mammifères et oiseaux indigènes et migrateurs vivant à l'état sauvage doit être conservée. L'art. 11 LChP prescrit dans ce but que le Conseil fédéral, après avoir consulté les cantons, délimite des réserves de sauvagine et d’oiseaux migrateurs, d’importance internationale (al. 1). D’entente avec les cantons, il délimite des districts francs fédéraux ainsi que des réserves de sauvagine et d’oiseaux migrateurs, d’importance nationale (al. 2). Le Conseil fédéral édicte les dispositions concernant la protection dans les réserves de sauvagine et d’oiseaux migrateurs, d’importance internationale et nationale, ainsi que dans les districts francs fédéraux (al. 6). Dans les réserves d'oiseaux d'eau et migrateurs, il s'agit notamment de ne pas déranger, traquer ou attirer hors de la zone les animaux, selon l'art. 5 al. 1 let. b de l'ordonnance du 21 janvier 1991 sur les réserves d'oiseaux d'eau et de migrateurs d'importance internationale et nationale (OROEM; RS 922.32). L'art. 6 OROEM prévoit que, 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(al. 1). Les réserves d’oiseaux d’eau et de migrateurs doivent être prises en considération lors de l’élaboration de plans directeurs et de plans d’affectation (al. 2). D'autres dispositions visant en particulier la protection des biotopes prévue aux art. 18 ss LPN sont réservées (al. 3). Selon la jurisprudence, la mise en œuvre de la protection des oiseaux d'eau et migrateurs doit faire l'objet d'une pesée d'intérêt (ATF 145 II 70 consid. 6.5-6.8). Les prescriptions applicables à un site constituant une réserve d'oiseaux d'eau et de migrateurs d'importance internationale doivent être coordonnées avec d'autres mesures de protection fondées sur les art. 18 ss LPN, qu'elles n'excluent nullement (arrêt TF 1A.46/2005 du 23 juin 2005 consid. 4). b) En l'occurrence, le périmètre de l'inventaire fédéral de la réserve d'oiseaux d'eau et migrateurs d'importance internationale et nationale des Grangettes (IROEM, objet n° 8) s'étend sur toute la partie est du Haut Lac Léman jusqu'à hauteur de Saint-Gingolph au sud et de Saint-Saphorin au nord. Au sud, la réserve couvre également les terres émergées autour de l'embouchure du Rhône jusqu'à plusieurs centaines de mètres de la rive. Elle est caractérisée par une vaste surface d'eau, par des zones humides étendues et des forêts alluviales dans le delta du Rhône. De très nombreux oiseaux d'eau et limicoles passent chaque année l'hiver dans la zone. La réserve a pour objectif de protection la conservation de zones de tranquillité pour le séjour et l'alimentation de l'avifaune, en particulier pour les oiseaux d’eau migrateurs et les limicoles, et la conservation du site en tant que lieu de reproduction et de mue pour les oiseaux d'eau et en tant que biotope diversifié pour les oiseaux et les mammifères sauvages. Comme le relève l'OFEV, une maison est susceptible de provoquer diverses perturbations tout au long de l'année. En été, il s'agit de perturbations dues aux activités de loisirs dans et au bord de l'eau (baignade, bateaux, Stand Up Paddles, pêche, chiens), ainsi qu'au bruit des personnes présentes dans le jardin et la maison. Les émissions lumineuses sont gênantes pour les oiseaux, dont certaines espèces protégées sont très sensibles aux perturbations, mais elles affectent aussi les insectes qui sont une de leurs sources de nourriture. Des perturbations secondaires sont également dues à l'impact sur la flore lacustre. La reconstruction de l'habitation litigieuse dont la durée de vie est ainsi augmentée est donc aussi susceptible de contribuer à une aggravation des nuisances, singulièrement pour les oiseaux aquatiques, dont les activités ne sont pas protégées par une végétation riveraine à cet endroit, la villa étant située en bordure immédiate de la rive. Les grandes baies vitrées offertes par la nouvelle construction, sur lesquelles les oiseaux pourraient s'échouer, constituent au surplus un risque spécifique pour ce type de faune. c) En vertu de l'art. 7 al. 6 in fine LChP, lorsque des projets affectent des zones protégées d’importance internationale et nationale, il y a lieu de demander le préavis de l’Office fédéral de l’environnement. Selon l'OFEV, cette disposition ne s'adresse pas qu'aux autorités fédérales dans la mesure où cette obligation découle déjà de l'art. 62a al. 1 de la loi fédérale du 21 mars 1997 sur l’organisation du gouvernement et de l’administration (LOGA; RS 172.010). L'art. 6 al. 1 bis OROEM prévoit en outre que, lorsque des autorités fédérales autres que l'OFEV sont compétentes pour l’exécution, la collaboration de ce dernier est régie par les art. 62 a et 62 b LOGA. Les autorités communale et cantonale auraient donc violé l'obligation de consulter l'OFEV dans le cadre de la procédure d'autorisation de construire concernée. Au vu du sort du recours, la question de la violation de l'art. 7 al. 6 LChP peut toutefois rester ouverte.</w:t>
      </w:r>
    </w:p>
    <w:p>
      <w:r>
        <w:rPr>
          <w:b/>
        </w:rPr>
        <w:t>E. 9</w:t>
      </w:r>
    </w:p>
    <w:p>
      <w:r>
        <w:t>Dans les motifs exposés à l'appui de son autorisation spéciale, la DGE/DIRNA/BIODIV s'est contentée de constater l'inscription du site dans divers inventaires cantonaux et fédéraux sans en discuter les conditions, ni confronter le projet à leurs buts spécifiques de protection. Elle s'est limitée à constater que les transformations prévues n'allaient pas au-delà des limites décrites dans le PPA. Dans sa réponse au recours, elle a certes développé ces aspects mais uniquement dans la perspective particulière des conditions de la remise en état. Au vu de ce qui précède, on peut se demander si la décision rendue par la DGE/DIRNA/BIODIV dans la synthèse CAMAC du 17 juillet 2013 remplit les exigences minimales de motivation de l'art. 42 al. 1 let. c LPA-VD. Cette question peut toutefois rester ouverte. Au vu des motifs qui tiennent à la protection des sites marécageux et des réserves d'oiseaux d'eau et migrateurs, la décision de la DGE doit de toute façon être annulée.</w:t>
      </w:r>
    </w:p>
    <w:p>
      <w:r>
        <w:rPr>
          <w:b/>
        </w:rPr>
        <w:t>E. 10</w:t>
      </w:r>
    </w:p>
    <w:p>
      <w:r>
        <w:t>A suivre les constructeurs, admettre l'annulation du permis de construire reviendrait à procéder à un contrôle préjudiciel du PPA, alors que les conditions de ce contrôle qui requièrent des circonstances nouvelles ne seraient pas remplies. En réalité, il n'est pas question ici à proprement parler d'un contrôle préjudiciel du plan au sens de l'art. 21 al. 2 LAT, mais du constat que celui-ci ne respecte pas le droit fédéral, comme cela a été exposé ci-dessus (voir consid. 7e). Ce grief tombe donc à faux.</w:t>
      </w:r>
    </w:p>
    <w:p>
      <w:r>
        <w:rPr>
          <w:b/>
        </w:rPr>
        <w:t>E. 11</w:t>
      </w:r>
    </w:p>
    <w:p>
      <w:r>
        <w:t>L'OFEV conclut encore à la remise en état de la parcelle concernée. La municipalité, la DGE, la DGTL, ainsi que les constructeurs s'y opposent, arguant du fait que cela violerait le principe de la proportionnalité et de la bonne foi. Le présent recours est dirigé contre les décisions des 17 et 24 juillet 2013, dont on a vu qu'elles étaient illégales.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w:t>
      </w:r>
    </w:p>
    <w:p>
      <w:r>
        <w:rPr>
          <w:b/>
        </w:rPr>
        <w:t>E. 12</w:t>
      </w:r>
    </w:p>
    <w:p>
      <w:r>
        <w:t>Les considérants qui précèdent conduisent à l'admission du recours. La décision cantonale est réformée en ce sens que l'autorisation ne peut être délivrée par la DGE. L'autorisation de construire municipale est nulle.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obtient gain de cause sur le principe. Sa conclusion tendant à la remise en état est toutefois irrecevable. Par conséquent, un émolument de justice réduit d'un quart sera mis à la charge des constructeurs, qui succombent s'agissant de l'autorisation de construire. Le solde de l'émolument restera à la charge de l'Etat puisqu'aucuns frais ne peuvent être exigés de la Confédération (art. 52 al. 1 LPA-VD). Succombant partiellement, l'OFEV versera des dépens réduits aux constructeurs. La municipalité, dont la décision est nulle,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