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AC.2023.0410 vom 30. April 2024</w:t>
      </w:r>
    </w:p>
    <w:p>
      <w:r>
        <w:t>VD Tribunal cantonal, 2024-04-30, FR</w:t>
      </w:r>
    </w:p>
    <w:p>
      <w:r>
        <w:rPr>
          <w:b/>
        </w:rPr>
        <w:t xml:space="preserve">Quelle: </w:t>
      </w:r>
      <w:r>
        <w:t>https://mcp.opencaselaw.ch/entscheid/vd_omni_AC.2023.0410</w:t>
      </w:r>
    </w:p>
    <w:p>
      <w:r>
        <w:t>FR: VD_OMNI AC.2023.0410 du 30 avril 2024</w:t>
      </w:r>
    </w:p>
    <w:p>
      <w:r>
        <w:t>IT: VD_OMNI AC.2023.0410 del 30 aprile 2024</w:t>
      </w:r>
    </w:p>
    <w:p>
      <w:pPr>
        <w:pStyle w:val="Heading2"/>
      </w:pPr>
      <w:r>
        <w:t>Regeste</w:t>
      </w:r>
    </w:p>
    <w:p>
      <w:r>
        <w:t>A.________, B.________, C.________, D.________/Municipalité de Romainmôtier-Envy, E.________, F.________ | Rejet du recours dirigé contre une décision octroyant un permis de construire pour l'installation d'une pompe à chaleur (PAC). Application du nouvel art. 7 al. 3 OPB. Le Conseil fédéral, chargé par le parlement de compléter l'OPB à la suite de l'ATF 141 II 476, a fait usage de sa marge de manoeuvre normative d'une manière conforme au droit supérieur. La PAC litigieuse respecte largement les valeurs de planification; vu son prix, il est manifeste que l'on ne parviendrait pas à réduire notablement les immissions moyennant tout au plus 1% des coûts d'investissement.</w:t>
      </w:r>
    </w:p>
    <w:p>
      <w:pPr>
        <w:pStyle w:val="Heading2"/>
      </w:pPr>
      <w:r>
        <w:t>Erwägungen</w:t>
      </w:r>
    </w:p>
    <w:p>
      <w:r>
        <w:rPr>
          <w:b/>
        </w:rPr>
        <w:t>E. 1</w:t>
      </w:r>
    </w:p>
    <w:p>
      <w:r>
        <w:t>La décision par laquelle une municipalité lève les oppositions à un projet et délivre le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En l'occurrence, le recours a été déposé en temps utile (art. 95 LPA-VD) et il respecte les exigences légales de motivation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(let. a). Les recourants B.________ et A.________, titulaires d'un usufruit grevant une parcelle directement voisine, satisfont aux conditions de l'art. 75 let. a LPA-VD. Il n'en va pas de même des nus-propriétaires de cet immeuble, étant donné qu'ils n'ont pas formé opposition durant l'enquête publique et qu'ils ont donc renoncé à prendre part à la procédure devant l'autorité communale. Sous cette réserve, il y a lieu d'entrer en matière.</w:t>
      </w:r>
    </w:p>
    <w:p>
      <w:r>
        <w:rPr>
          <w:b/>
        </w:rPr>
        <w:t>E. 2</w:t>
      </w:r>
    </w:p>
    <w:p>
      <w:r>
        <w:t>La contestation porte, d'après le recours, exclusivement sur l'autorisation d'installer une PAC et sur l'application des normes de limitation du bruit de cet équipement. a) La PAC litigieuse est une installation fixe nouvelle au sens des art. 7 al. 7 de la loi fédérale du 7 octobre 1983 sur la protection de l'environnement (LPE; RS 814.01) et 2 al. 1 de l'ordonnance du 15 décembre 1986 sur la protection contre le bruit (OPB; RS 814.41), dont l'exploitation produit un bruit extérieur. À ce titre, elle ne peut être construite, en vertu des art. 25 al. 1 LPE et 7 al. 1 let. b OPB (disposition de l'ordonnance du Conseil fédéral ayant la même portée que la règle légale précitée), que si les immissions sonores (cf. art. 7 al. 2 i.f. LPE; bruit au lieu de son effet) qu'elle génère ne dépassent pas les valeurs de planification fixées à l'annexe 6 de l'OPB. Celle-ci prévoit en particulier les valeurs limites applicables aux installations de chauffage, de ventilation et de climatisation (art. 6 al. 1 let. e de l'annexe 6 OPB) qui sont applicables aux PAC. Dans une zone à laquelle le DS II a été attribué – c'est le cas de la parcelle des recourants –, les valeurs de planification à observer sont de 55 dB(A) le jour et de 45 dB(A) la nuit. b) Dans le concept de la LPE, l'obligation de respecter les valeurs de planification (art. 25 al. 1 LPE) ne dispense pas le détenteur de l'installation de respecter le principe énoncé à l'art. 11 al. 2 LPE qui dispose que, " indépendamment des nuisances existantes, il importe, à titre préventif, de limiter les émissions dans la mesure que permettent l’état de la technique et les conditions d’exploitation et pour autant que cela soit économiquement supportable " (principe de prévention). C'est pourquoi, s'agissant de la limitation des émissions de nouvelles installations fixes, l'OPB énonce également, à son art. 7 al. 1 let. a, une règle correspondant matériellement à l'art. 11 al. 2 LPE ("[l] es émissions de bruit d’une nouvelle installation fixe seront limitées conformément aux dispositions de l’autorité d’exécution dans la mesure où cela est réalisable sur le plan de la technique et de l’exploitation et économiquement supportable "). L'art. 7 OPB a été récemment modifié par le Conseil fédéral, qui a introduit un nouvel alinéa 3 par une ordonnance du 29 septembre 2023 en vigueur depuis le 1 er novembre 2023 (RO 2023 582 – cf. infra ). Auparavant, dans la jurisprudence relative à l'installation de nouvelles pompes à chaleur extérieures, il était rappelé la nécessité d'examiner chaque cas d'espèce à la lumière des critères définis par les art. 11 al. 2 LPE et 7 al. 1 let. a OPB pour déterminer si le principe de prévention exige une limitation supplémentaire des émissions, nonobstant le respect des valeurs de planification. Dans ce cadre, le principe de prévention impose, lors du choix de l'emplacement d'une nouvelle installation, de tenir compte des émissions que celle-ci produira et de la protection des tiers contre les atteintes nuisibles et incommodantes (ATF 141 II 476 consid. 3.2). Dans la pratique, le respect du principe de prévention a pu justifier l'ordre donné par une autorité de réaliser certaines mesures d'isolation phonique (cf. notamment arrêt CDAP AC.2022.0129 du 10 février 2023 consid. 2 – pose d'un capot sur une PAC). c) Il ressort d'interventions parlementaires récentes que l'application concrète de ces normes – singulièrement des exigences supplémentaires tirées de l'art. 11 al. 2 LPE quand le respect des valeurs de planification selon l'art. 25 al. 1 LPE est garanti – pouvait freiner le remplacement de systèmes de chauffage fonctionnant avec des combustibles fossiles par des installations exploitant la chaleur présente dans l'environnement. Le Conseil fédéral a dès lors été invité à simplifier l'exécution des prescriptions en matière de protection contre le bruit s'appliquant aux pompes à chaleur (voir la motion 22.3388 – Simplifier le passage à des systèmes de chauffage moderne, déposée le 26 avril 2022 et adoptée en définitive par les deux Chambres). Le Conseil fédéral a dès lors adopté le 29 septembre 2023 une modification de l'OPB, complétant l'art. 7 OPB par l'adjonction d'un nouvel al. 3 ainsi libellé: "</w:t>
      </w:r>
    </w:p>
    <w:p>
      <w:r>
        <w:rPr>
          <w:b/>
        </w:rPr>
        <w:t>E. 3</w:t>
      </w:r>
    </w:p>
    <w:p>
      <w:r>
        <w:t>Il résulte des considérants que le recours doit être rejeté, dans la mesure où il est recevable. Cela entraîne la confirmation de la décision attaquée. Les recourants, qui succombent, doivent payer un émolument judiciaire (art. 49 LPA-VD). Le montant de cet émolument sera réduit, pour tenir compte de l'application en quelque sorte imprévisible de nouvel art.</w:t>
      </w:r>
    </w:p>
    <w:p>
      <w:r>
        <w:rPr>
          <w:b/>
        </w:rPr>
        <w:t>E. 7</w:t>
      </w:r>
    </w:p>
    <w:p>
      <w:r>
        <w:t>al. 3 OPB. Les constructeurs et la municipalité, qui obtiennent gain de cause avec l'assistance d'un avocat, ont droit à des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