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AC.2023.0402 vom 29. Mai 2024</w:t>
      </w:r>
    </w:p>
    <w:p>
      <w:r>
        <w:t>VD Tribunal cantonal, 2024-05-29, FR</w:t>
      </w:r>
    </w:p>
    <w:p>
      <w:r>
        <w:rPr>
          <w:b/>
        </w:rPr>
        <w:t xml:space="preserve">Quelle: </w:t>
      </w:r>
      <w:r>
        <w:t>https://mcp.opencaselaw.ch/entscheid/vd_omni_AC.2023.0402</w:t>
      </w:r>
    </w:p>
    <w:p>
      <w:r>
        <w:t>FR: VD_OMNI AC.2023.0402 du 29 mai 2024</w:t>
      </w:r>
    </w:p>
    <w:p>
      <w:r>
        <w:t>IT: VD_OMNI AC.2023.0402 del 29 maggio 2024</w:t>
      </w:r>
    </w:p>
    <w:p>
      <w:pPr>
        <w:pStyle w:val="Heading2"/>
      </w:pPr>
      <w:r>
        <w:t>Regeste</w:t>
      </w:r>
    </w:p>
    <w:p>
      <w:r>
        <w:t>A.________/Direction générale de l'environnement DGE | C'est à bon droit que la Direction générale de l'environnement (DGE) a astreint le recourant, détenteur d'un site pollué, à procéder à une investigation préalable.</w:t>
      </w:r>
    </w:p>
    <w:p>
      <w:pPr>
        <w:pStyle w:val="Heading2"/>
      </w:pPr>
      <w:r>
        <w:t>Erwägungen</w:t>
      </w:r>
    </w:p>
    <w:p>
      <w:r>
        <w:rPr>
          <w:b/>
        </w:rPr>
        <w:t>E. 1</w:t>
      </w:r>
    </w:p>
    <w:p>
      <w:r>
        <w:t>La loi fédérale du 7 octobre 1983 sur la protection de l'environnement (LPE; RS 814.01) contient des prescriptions sur l'assainissement des sites pollués par des déchets (art. 32c ss LPE), cette réglementation étant complétée par les dispositions de l'ordonnance du 26 août 1998 sur l'assainissement des sites pollués (OSites; RS 814.680). Une décision de l'autorité cantonale compétente en matière d'assainissement peut faire l'objet d'un recours de droit administratif au sens des art. 92 ss de la loi du 28 octobre 2008 sur la procédure administrative (LPA-VD; BLV 173.36). Le propriétaire du terrain où se trouve le site pollué a qualité pour recourir (cf. art. 75 let. a LPA-VD, par renvoi de l'art. 99 LPA-VD). Les autres conditions formelles de recevabilité sont remplies (en particulier art. 79 LPA-VD, par renvoi de l'art. 99 LPA-VD), de sorte qu'il y a lieu d'entrer en matière.</w:t>
      </w:r>
    </w:p>
    <w:p>
      <w:r>
        <w:rPr>
          <w:b/>
        </w:rPr>
        <w:t>E. 2</w:t>
      </w:r>
    </w:p>
    <w:p>
      <w:r>
        <w:t>L'autorité peut obliger des tiers à procéder à l'investigation préalable, à exécuter les mesures de surveillance ou à effectuer l'investigation de détail lorsqu'il y a lieu de penser que leur comportement est à l'origine de la pollution du site." Selon la jurisprudence, ce n'est qu'exceptionnellement qu'une telle obligation peut être imposée à un tiers sur la base de l'art. 20 al. 2 OSites. L'autorité n'a pas à faire intervenir systématiquement, à ce stade, les tiers dont le comportement serait à l'origine de la pollution du site. Elle dispose d'un certain pouvoir d'appréciation mais elle doit tenir compte de la nécessité d'effectuer aussi rapidement que possible les investigations; le détenteur du site pollué, qui en a effectivement la maîtrise, est normalement le mieux à même de prendre les mesures requises. Si, lors des étapes préalables, il fallait toujours rechercher également celui qui est à l'origine de la pollution ou de l'assainissement, on prendrait le risque de différer inutilement l'assainissement. Cela étant, la question de l'obligation de prendre des mesures (art. 20 OSites) doit être distinguées de celle, à résoudre ultérieurement, de la prise en charge des frais , en principe supportés, en vertu de l'art. 32d al. 1 LPE, par celui qui est à l'origine des mesures nécessaires (investigation, surveillance, assainissement). Néanmoins, s'il apparaît d'emblée clairement qu'un tiers devra supporter les frais d'assainissement parce qu'il est le principal responsable de la pollution du site, on pourrait considérer qu'en renonçant à l'obliger à prendre des mesures d'investigation et de surveillance, l'autorité fait un mauvais usage de son pouvoir d'appréciation et viole partant l'art. 20 OSites (ATF 130 II 321 consid. 2.2). Le critère de base rappelé par la jurisprudence fédérale est ainsi celui de "la maîtrise de fait sur le site litigieux" (ATF 130 II 321 consid. 2.3). b) En l'occurrence, la contestation porte sur une mesure d'investigation préalable au sens de l'art. 7 al. 1 OSites. Le recourant ne remet pas en cause cette mesure en tant que telle: qualifiant lui-même "[l] a situation sanitaire actuelle " de " préoccupante ", il estime " nécessaire que les investigations complémentaires dont il est question en l'espèce soient menées rapidement ". Il prétend en revanche qu'il appartient à la commune de Noville, qu'il tient pour responsable de la pollution, de procéder à l'investigation préalable. Cet argument est mal fondé. Le recourant perd de vue que, conformément à la jurisprudence fédérale susmentionnée, l'exécution de la mesure ordonnée par la DGE vise une mise en oeuvre la plus efficace possible du droit de la protection de l'environnement. Le recourant est propriétaire de la parcelle n o 1109, sur laquelle il exploite ses sociétés. Il exerce donc à la fois une maîtrise de fait et de droit sur le terrain censément pollué. Comme le relève de manière pertinente la DGE, il est la personne la mieux placée pour procéder concrètement à l'investigation préalable requise. Au vu des éléments figurant au dossier, il n'apparaît à cet égard pas d'emblée clairement qu'un tiers, en particulier la commune de Noville, devrait supporter les frais d’investigation parce qu'il serait le principal responsable de la pollution éventuelle du site. Les allégations du recourant à ce sujet ne sont à ce stade nullement prouvées. La DGE n'a ainsi pas abusé de son pouvoir d'appréciation en astreignant le recourant, détenteur du site pollué au sens de l'art. 20 al. 1 OSites, à procéder à une investigation préalable.</w:t>
      </w:r>
    </w:p>
    <w:p>
      <w:r>
        <w:rPr>
          <w:b/>
        </w:rPr>
        <w:t>E. 3</w:t>
      </w:r>
    </w:p>
    <w:p>
      <w:r>
        <w:t>Le considérant qui précède conduit au rejet du recours, mal fondé. Cela entraîne la confirmation de la décision attaquée. Le délai initialement imparti au recourant doit toutefois être prolongé afin de tenir compte de la durée de la procédure de deuxième instance. Un émolument judiciaire sera mis à la charge du recourant,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