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AC.2023.0395 vom 31. März 2025</w:t>
      </w:r>
    </w:p>
    <w:p>
      <w:r>
        <w:t>VD Tribunal cantonal, 2025-03-31, FR</w:t>
      </w:r>
    </w:p>
    <w:p>
      <w:r>
        <w:rPr>
          <w:b/>
        </w:rPr>
        <w:t xml:space="preserve">Quelle: </w:t>
      </w:r>
      <w:r>
        <w:t>https://mcp.opencaselaw.ch/entscheid/vd_omni_AC.2023.0395</w:t>
      </w:r>
    </w:p>
    <w:p>
      <w:r>
        <w:t>FR: VD_OMNI AC.2023.0395 du 31 mars 2025</w:t>
      </w:r>
    </w:p>
    <w:p>
      <w:r>
        <w:t>IT: VD_OMNI AC.2023.0395 del 31 marzo 2025</w:t>
      </w:r>
    </w:p>
    <w:p>
      <w:pPr>
        <w:pStyle w:val="Heading2"/>
      </w:pPr>
      <w:r>
        <w:t>Regeste</w:t>
      </w:r>
    </w:p>
    <w:p>
      <w:r>
        <w:t>Office fédéral de l'environnement OFEV/Municipalité de Noville, Direction générale du territoire et du logement, Direction générale de l'environnement DGE-BIODIV, A.________, B.________ | Construction nouvelle sur une parcelle figurant à l'inventaire des sites marécageux d'une beauté particulière et d'importance nationale (Grangettes). Recours déposé par l'OFEV contre le permis de construire délivré 8 ans auparavant et contre le PPA sur lequel il est fondé, adopté 13 ans auparavant. Qualité pour agir de l'OFEV reconnue (consid. 2). Recevabilité du recours contre le PPA niée faute d'obligation légale de notification du PPA à l'OFEV lors de son adoption; recevabilité du recours contre l'autorisation de construire admise en raison de l'existence d'une obligation, non respectée en l'espèce, de notification de cette décision à l'OFEV et au vu des intérêts en jeu (consid. 3). Rappel du régime légal strict découlant de l'art. 78 al. 5 Cst.; s'agissant d'une nouvelle construction, pas de bénéfice de la situation acquise (consid. 5). Conflit avec les buts de protection découlant d'autres inventaires: zones alluviales, sites de reproduction des batraciens et réserve d'oiseaux d'eau et migrateurs d'importance internationale et nationale (consid. 6-8). Irrecevabilité de la conclusion tendant à la remise en état, qui n'est pas l'objet de la décision attaquée (consid. 11). Recours admis dans la mesure de sa recevabilité et réforme des autorisations cantonales et municipale en ce sens qu'elles ne sont pas délivrées. Recours pendant au TF (1C_263/2025).</w:t>
      </w:r>
    </w:p>
    <w:p>
      <w:pPr>
        <w:pStyle w:val="Heading2"/>
      </w:pPr>
      <w:r>
        <w:t>Erwägungen</w:t>
      </w:r>
    </w:p>
    <w:p>
      <w:r>
        <w:rPr>
          <w:b/>
        </w:rPr>
        <w:t>E. 1</w:t>
      </w:r>
    </w:p>
    <w:p>
      <w:r>
        <w:t>Le recours est formé par l'OFEV et dirigé à l'encontre de plusieurs actes distincts, à savoir la synthèse CAMAC comprenant les autorisations spéciales délivrées par les instances cantonales le 13 mars 2014, dont l'ancien SDT et la DGE, l'autorisation de construire rendue par la municipalité le 25 mars 2014 et le PPA "Hameau des Grangettes" approuvé par le département le 26 janvier 2010. Il y a ainsi lieu d'examiner la recevabilité du recours, contestée tant par la municipalité que par la DGTL et les constructeurs, et de la distinguer cas échéant en fonction des actes attaqués. La DGE s'en est remise à justice sur ce point.</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de la loi fédérale du 22 juin 1979 sur l'aménagement du territoire (LAT; RS 700) ( ATF 112 Ib 70 consid. 4b). L'autorisation de défrichement est expressément mentionnée à l'art. 2 al. 1 let. b LPN ( ATF 121 II 190 consid. 3c/cc). La protection des biotopes selon les art. 18 ss LPN est une tâche fédérale confiée aux cantons (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 la protection des marais et des sites marécageux d'une beauté particulière et d'importance nationale ( ATF 118 Ib 11 consid. 2e) ainsi que des mammifères et des oiseaux sauvages (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al. 1 de la loi du 4 décembre 1985 sur l’aménagement du territoire et les constructions (LATC; BLV 700.11)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étaient datés respectivement de plus de huit ans (permis de construire) et de plus de treize ans (plan partiel d'affectation) au moment du dépôt du recours. A ce sujet, l'OFEV se prévaut de l'absence totale de notification des actes litigieux, qui ne lui auraient été communiqués qu'à sa demande le 2 novembre 2023, en violation en particulier des art. 24g LPN, 27 al. 2 let. e et f OPN et 46 OAT. Il convient dès lors de se pencher sur l'existence d'une obligation de notification, en distinguant, d'une part, le cas des autorisations cantonales spéciales et du permis de construire des 13 et 25 mars 2014 et, d'autre part, le cas de l'approbation du PPA Le Hameau des Grangettes.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zum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En l'espèce, il convient de distinguer le cas des décisions en lien avec le permis de construire et l'adoption du plan partiel d'affectation. S'agissant du plan partiel d'affectation du "Hameau des Grangettes" adopté par le Conseil général de Noville le 26 mai 2009 et approuvé par le département compétent le 26 janvier 2010, ce plan est antérieur à l'entrée en vigueur, le 1 er mai 2014, de l'art. 27 al. 2 let. f OPN, qui prévoit une obligation de communication des plans d'affectation à l'OFEV. Il s'ensuit que, lors de l'adoption du plan litigieux, il n'existait, dans la législation fédérale, aucune obligation pour les autorités concernées de notifier leurs décisions à l'office. Par conséquent, à défaut d'une telle obligation, il ne peut être reproché au Conseil général de Noville et au département de n'avoir pas transmis leurs décisions respectives à l'OFEV et celui-ci, qui ne peut se prévaloir d'un défaut de notification, n'est plus en mesure de remettre en question les décisions portant sur le plan d'affectation dans le cadre du présent recours. A cet égard, l'OFEV se méprend lorsqu'il se réfère à l'art. 46 OAT, dans son état en vigueur au 1 er janvier 2013, pour justifier d'un défaut de communication à son égard de la décision d'approbation du plan d'affectation. L'art. 46 OAT ne concerne que l'ARE et ne saurait fonder une obligation de communication des autorités concernées à l'OFEV, ni une obligation dérivée de communication de l'ARE à l'OFEV des décisions émanant des autorités cantonales potentiellement notifiées au premier cité. Chaque office n'exerce en effet sa surveillance sur les autorités cantonales qu'à l'intérieur de son domaine de compétence (arrêt du TF 1A.124/2005 du 17 juin 2005 consi d. 1.3-1.4; voir aussi Tanquerel, op. cit., p. 766). c) Cette situation doit être distinguée de celle des autorisations spéciales et du permis de construire datés des 13 et 25 mars 2014. Lors de la reddition de ces décisions, l'art. 27 al. 2 let. e OPN était applicable et les autorités vaudoises étaient donc en principe tenues de notifier leurs décisions à l'OFEV. La municipalité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par courriel le 2 novembre 2023. En particulier, le fait que divers arrêts aient été rendus précédemment par la CDAP concernant le secteur des Grangettes, mais en lien avec d'autres parcelles du site, ne peut pas fonder une violation de son devoir de se renseigner qui pourrait aujourd'hui être opposé à l'OFEV.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Il en est de même s'agissant de l'arrêt rendu par la CDAP le 24 décembre 2015 (AC.2015.0026) dont se prévaut la municipalité.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Au demeurant, contrairement à ce qu'invoque la municipalité,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Il s'ensuit que, bien que formé plusieurs années après leur prononcé, le recours contre les décisions des 13 et 25 mars 2014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a) L'OFEV s'oppose à la délivrance de l'autorisation de construire litigieuse au motif qu'elle serait contraire à la protection instaurée par plusieurs inventaires fédéraux, au périmètre desquels appartient la parcelle n° 401. Il invoque à cet effet l'inventaire des sites marécageux d'une beauté particulière et d'importance nationale n° 289 (ISM), l'inventaire fédéral des zones alluviales d'importance nationale n° 123 (IZA), l'inventaire fédéral des sites de reproduction de batraciens d'importance nationale n° VD21 (IBN) et l'inventaire fédéral des réserves d'oiseaux d'eau et de migrateurs d'importance internationale et nationale n° 8 (IROEM), tous désignés sous l'appellation "Les Grangettes". Dans son recours, l'OFEV déclare qu'il conteste la décision municipale rendue, ainsi que la synthèse délivrée par la CAMAC. Or cette synthèse contenait plusieurs autorisations des instances cantonales sans que l'OFEV ne précise clairement la décision qu'il souhaite entreprendre. Au vu des motifs invoqués à l'appui de son recours, le Tribunal considère qu'il conteste manifestement les autorisations spéciales délivrées par le SDT et la DGE/DIRNA/BIODIV, à l'exclusion des décisions prises par les autres instances cantonales. b) Pour la municipalité, la construction litigieuse se situe en retrait de la zone lacustre protégée bordant directement la rive. Elle se contente de combler la continuité des constructions existantes dans le site du hameau, consacrant la pesée faite par le planificateur entre les divers intérêts en présence dans le cadre de l'adoption du PPA en vigueur. Elle ne porte ainsi pas atteinte aux éléments caractéristiques du site marécageux ni aux biotopes protégés. Une pesée des intérêts a également été effectuée dans le cadre de la délivrance de l'autorisation de construire. La DGE a en effet soumis son autorisation à cinq conditions tenant compte de l'existence d'une zone protégée. Tel est également l'avis de la DGTL qui relève en particulier que le PPA a été examiné par les instances cantonales compétentes pour la protection de la nature et qu'il tient compte des exigences découlant des différents inventaires. Les constructeurs estiment aussi que les autorisations délivrées respectent la planification d'affectation, de sorte que le permis de construire doit être confirmé.</w:t>
      </w:r>
    </w:p>
    <w:p>
      <w:r>
        <w:rPr>
          <w:b/>
        </w:rPr>
        <w:t>E. 5</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L'habitation contestée ne poursuit pas un but d'exploitation agricole ou sylvicole ni ne constitue une mesure visant à protéger l'homme contre les catastrophes naturelles. Les cas prévus à l'art. 23d al. 2 let. a, c et d LPN ne sont donc manifestement pas applicables à la présente situation. La maison litigieuse constitue une nouvelle construction, érigée en 2016, sur la base des décisions qui font l’objet du recours. On ne saurait considérer qu'il s'agit d'une rénovation ou de l'entretien d'une construction existante qui pourraient cas échéant être autorisés sur la base de l'art. 23d al. 2 let. b LPN au bénéfice de la situation acquise. Le pavillon précédent n'était nullement comparable en termes de dimension, de fonction et de situation géographique avec l'habitation actuelle. De petit cabanon de vacances, la construction présente sur la parcelle n° 401 s'est transformée en résidence principale et a sensiblement gagné en volume et en équipement. Il ne s'agit donc pas non plus de la reconstruction d'un bâtiment existant. Quoi qu'il en soit, le Tribunal fédéral a considéré que la reconstruction n'était pas couverte par le libellé de l'art. 23d al. 2 LPN, le législateur ayant voulu limiter la garantie de la situation acquise dans les sites marécageux à la conservation de la substance proprement dite dans le cadre de la durée de vie normale d'une construction (arrêt 1C_515/2012 précité, consid. 5.6). A cet égard, on observe que l'art. 23d LPN est plus restrictif que l'art. 24c al. 2 LAT. La construction litigieuse n'a pas d'autre justification que celle d'offrir une habitation personnelle à ses propriétaires et ne poursuit donc pas un but d'importance nationale au sens de l'art. 5 al. 2 let. d OSM. Les bâtiments situés dans le périmètre du PPA "Hameau des Grangettes" ne correspondent pas à une occupation typique et traditionnelle du site marécageux des Grangettes. Si, selon le descriptif de l'ISM, le hameau participe avec les constructions agricoles présentes sur le site à la structure du paysage, il résulte de l'IFP n° 1502 que seuls les petites granges ou chalets des anciens prés marécageux, où l'on fauchait l'herbe dure comme litière, sont mentionnés au titre de constructions traditionnelles du site (IFP, ch. 2.4). Or, selon le Tribunal fédéral, les constructions et installations qui ne servent pas à la protection des biotopes et qui ne font pas partie des éléments caractéristiques du paysage marécageux constituent en principe une atteinte à la beauté du paysage (art. 4 al. 1 let. a OSM; TF 1C_515/2012 du 17 septembre 2013 consid. 5.6). Même si l'on devait considérer que certains des bâtiments historiques du hameau, qui existaient au moment de l'inventaire de l'objet, pourraient contribuer à la structure caractéristique décrite, la nouvelle villa, ultérieure, n'en fait pas partie. Dans ces conditions, la construction litigieuse s'oppose à l'interdiction de bâtir consacrée par les art. 78 al. 5 Cst. et 23d LPN dans les sites marécageux d'importance nationale. Contraire aux objectifs de protection, elle n'aurait donc pas dû être autorisée, indépendamment des autres intérêts en jeu.</w:t>
      </w:r>
    </w:p>
    <w:p>
      <w:r>
        <w:rPr>
          <w:b/>
        </w:rPr>
        <w:t>E. 6</w:t>
      </w:r>
    </w:p>
    <w:p>
      <w:r>
        <w:t>A cela s'ajoute que la construction litigieuse entre en conflit avec la protection découlant des autres inventaires régissant le périmètre, tel que cela découle des considérations qui suivent. a) Selon l'art. 18 al. 1 LPN, "la disparition d'espèces animales et végétales indigènes doit être prévenue par le maintien d'un espace vital suffisamment étendu (biotopes), ainsi que par d'autres mesures appropriées". La notion de biotope est ainsi juridiquement définie par cette disposition comme un "espace vital suffisamment étendu" (sur cette problématique, voir Karin Sidi-Ali, La protection des biotopes en droit suisse, thèse de l'Université de Lausanne, 2008, ch. 1.2 p. 8 ss et 1.3 p. 20 notamment). L'al. 1 bis de l'art. 18 LPN introduit - de manière exemplative - la notion plus restrictive de biotope "digne de protection" dans les termes suivants: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S'agissant des mesures générales de sauvegarde des biotopes dignes de protection, l'art. 18 al. 1 ter LPN dispose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l'art. 14 al.</w:t>
      </w:r>
    </w:p>
    <w:p>
      <w:r>
        <w:rPr>
          <w:b/>
        </w:rPr>
        <w:t>E. 7</w:t>
      </w:r>
    </w:p>
    <w:p>
      <w:r>
        <w:t>L'art. 1 er al. 1 let. a de la loi fédérale du 20 juin 1986 sur la chasse et la protection des mammifères et oiseaux sauvages (loi sur la chasse, LChP; RS 922.0) prévoit que la diversité des espèces et celle des biotopes des mammifères et oiseaux indigènes et migrateurs vivant à l'état sauvage doit être conservée. L'art. 11 LChP prescrit dans ce but que le Conseil fédéral, après avoir consulté les cantons, délimite des réserves de sauvagine et d’oiseaux migrateurs, d’importance internationale (al. 1). D’entente avec les cantons, il délimite des districts francs fédéraux ainsi que des réserves de sauvagine et d’oiseaux migrateurs, d’importance nationale (al. 2). Le Conseil fédéral édicte les dispositions concernant la protection dans les réserves de sauvagine et d’oiseaux migrateurs, d’importance internationale et nationale, ainsi que dans les districts francs fédéraux (al. 6). Dans les réserves d'oiseaux d'eau et migrateurs, il s'agit notamment de ne pas déranger, traquer ou attirer hors de la zone les animaux, selon l'art. 5 al. 1 let. b de l'ordonnance du 21 janvier 1991 sur les réserves d'oiseaux d'eau et de migrateurs d'importance internationale et nationale (OROEM; RS 922.32). L'art. 6 OROEM prévoit que, 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(al. 1). Les réserves d’oiseaux d’eau et de migrateurs doivent être prises en considération lors de l’élaboration de plans directeurs et de plans d’affectation (al. 2). D'autres dispositions visant en particulier la protection des biotopes prévue aux art. 18 ss LPN sont réservées (al. 3). Selon la jurisprudence, la mise en œuvre de la protection des oiseaux d'eau et migrateurs doit faire l'objet d'une pesée d'intérêt (ATF 145 II 70 consid. 6.5-6.8). Les prescriptions applicables à un site constituant une réserve d'oiseaux d'eau et de migrateurs d'importance internationale doivent être coordonnées avec d'autres mesures de protection fondées sur les art. 18 ss LPN, qu'elles n'excluent nullement (TF 1A.46/2005 du 23 juin 2005 consid. 4).</w:t>
      </w:r>
    </w:p>
    <w:p>
      <w:r>
        <w:rPr>
          <w:b/>
        </w:rPr>
        <w:t>E. 8</w:t>
      </w:r>
    </w:p>
    <w:p>
      <w:r>
        <w:t>a) Dans le cas présent, la parcelle n° 401 s'inscrit à l'intérieur du périmètre de l'inventaire fédéral des zones alluviales d'importance nationale (IZA, objet n° 123) des Grangettes, qui comprend le delta du Rhône, ainsi que les cours et plan d'eau du Rhône, du Grand Canal et du Lac Léman. Comme vu ci-dessus, selon l'art. 4 OZA, les objets doivent être conservés intacts, des dérogations au but visé par la protection ne sont admises que pour des projets dont l’emplacement s’impose directement par leur destination et qui sont destinés à assurer la sécurité de l’homme face aux effets dommageables de l’eau ou qui servent un autre intérêt public prépondérant d’importance nationale également. La construction en cause n'est pas favorable à la conservation et au développement de la flore et de la faune indigènes typiques ni à la dynamique naturelle des eaux, encore moins à son rétablissement. Au demeurant, elle ne poursuit manifestement pas un but d'importance nationale. Elle a conduit à un enlèvement de la végétation riveraine présente précédemment sur la parcelle, ainsi qu'à l'augmentation de l'emprise des installations au sol, que ce soit par le bâtiment lui-même ou par ses équipements extérieurs. Même si les travaux entrepris ont permis d'arracher les bambous présents sur le site, force est de constater que les nombreux arbustes enlevés n'ont pas été compensés alors que la ligne de conduite discutée avec la DGE prévoyait le maintien d'une végétation riveraine. Ces éléments sont manifestement contraires aux buts de protection de l'OZA. b) A cela s'ajoute que la parcelle litigieuse est sise à l'intérieur du secteur A de l'inventaire des sites de reproduction des batraciens d'importance nationale (IBN) n° VD21 depuis 2001. Selon cet inventaire, huit catégories d'amphibiens font l'objet d'un peuplement décrit comme allant d'une taille moyenne à une très grande taille dans la zone. La municipalité semble vouloir tirer argument du fait que la parcelle litigieuse n'a été classée à l'inventaire cantonal des sites de reproduction de batraciens que le 1 er novembre 2017, de sorte que les limites précises des objets fixes protégés par l'inventaire fédéral n'auraient pas pu être définies avant cette date. En réalité, on observe que la délimitation des secteurs A et B de l'inventaire cantonal est pratiquement identique à celle fixée par l'IBN et que la parcelle litigieuse se situe clairement à l'intérieur du secteur A, de sorte que le canton a confirmé le bien-fondé des délimitations posées par l'IBN. A ce sujet, le Tribunal fédéral a de toute façon jugé que l'absence de délimitation précise par le canton, alors que celui-ci était tenu de le faire au maximum dans les sept ans dès l'adoption de l'inventaire fédéral (délai que le canton de Vaud n'a au demeurant pas respecté en l'espèce), n'avait pas d'incidence sur le fait que l'examen de l'autorisation litigieuse devait se faire sous l'angle des buts de protection de l'art. 6 OBat puisque la parcelle se situait dans le périmètre de l'IBN (ATF 146 II 376 consid. 4.4-4.5). Le secteur protégé par l'IBN est ici caractérisé par de grandes populations d'amphibiens, notamment de crapauds communs, de grenouilles rousses, de tritons alpestres et de sonneurs à ventre jaune. Contrairement à ce que soutient la municipalité, les objets fixes ne sont pas constitués que des plans d'eau, mais aussi des surfaces naturelles et quasi naturelles attenantes (art. 2 OBat). Le défrichement de la parcelle et l'augmentation de son occupation par la villa et ses aménagements extérieurs (chemin d'accès, places de parc) a réduit la part de la surface d'habitat terrestre mis à disposition des amphibiens. Cette modification est contraire au but de conservation intact des objets fixes prescrit par l'art. 6 al. 1 OBat. Au surplus, une fois de plus, la construction de la villa ne sert pas un intérêt public d'importance nationale de sorte qu'elle ne pourrait de toute façon pas être autorisée dans la pesée préstructurée des intérêts prescrite par l'art. 7 OBat. c) La villa litigieuse entre encore en conflit avec la protection des oiseaux d'eau et des oiseaux migrateurs. Le périmètre de l'inventaire fédéral de la réserve d'oiseaux d'eau et migrateurs d'importance internationale et nationale des Grangettes (IROEM, objet n° 8) s'étend sur toute la partie est du Haut Lac Léman jusqu'à hauteur de Saint-Gingolph au sud et de Saint-Saphorin au nord. Au sud, la réserve couvre également les terres émergées autour de l'embouchure du Rhône jusqu'à plusieurs centaines de mètres de la rive. Elle est caractérisée par une vaste surface d'eau, par des zones humides étendues et des forêts alluviales dans le delta du Rhône. De très nombreux oiseaux d'eau et limicoles passent chaque année l'hiver dans la zone. La réserve a pour objectif de protection la conservation de zones de tranquillité pour le séjour et l'alimentation de l'avifaune, en particulier pour les oiseaux d’eau migrateurs et les limicoles, et la conservation du site en tant que lieu de reproduction et de mue pour les oiseaux d'eau et en tant que biotope diversifié pour les oiseaux et les mammifères sauvages. Comme le relève l'OFEV, une maison est susceptible de provoquer diverses perturbations tout au long de l'année. En été, il s'agit de perturbations dues aux activités de loisirs dans et au bord de l'eau (baignade, bateaux, Stand Up Paddles, pêche, chiens), ainsi qu'au bruit des personnes présentes dans le jardin et la maison. Les émissions lumineuses sont gênantes pour les oiseaux, dont certaines espèces protégées sont très sensibles aux perturbations, mais elles affectent aussi les insectes qui sont une de leurs sources de nourriture. Des perturbations secondaires sont également dues à l'impact sur la flore lacustre. La construction de la villa a aggravé les nuisances produites sur le site puisque, contrairement au pavillon préexistant, elle est désormais occupée comme résidence principale toute l'année. L'enlèvement de la végétation de la rive a également eu un impact non négligeable pour les oiseaux aquatiques, qui y trouvait précédemment une protection visuelle et un refuge. La préservation d'une végétation de rive est d'autant plus importante que l'on se situe dans une zone qui présente d'autres constructions proches qui conduisent déjà à une pression anthropique certaine sur le milieu. C'est le lieu de révéler que, si la DGE n'a pas contesté l'enlèvement complet de la végétation proche de la rive en raison de la présence de bambous, elle n'a pas donné son accord à une modification de la ligne de conduite discutée le 2 juin 2015, qui prévoyait la renaturalisation de la parcelle et le maintien de plusieurs arbres sur la bande nord-ouest de celle-ci. d) Comme le relèvent la municipalité, la DGTL et les constructeurs, il est vrai que la maison concernée vient s'insérer à l'intérieur du hameau des Grangettes, qui constitue une bande construite préexistante le long de la rive du lac. Si la parcelle litigieuse est bordée par des constructions sur deux de ses flans, ses deux autres côtés donnent respectivement sur le lac et sur la forêt. On ne saurait donc considérer qu'elle s'insère entièrement à l'intérieur d'un milieu bâti. Le hameau ne fait pas partie des constructions traditionnelles du site marécageux. Sa densification ne sert donc pas l'intérêt du paysage et les buts de protection des inventaires. Le fait que le périmètre constructible prévu par le PPA se trouve en retrait de la rive du lac et que les capacités constructives soient limitées en termes de surface habitable ou de hauteur ne permet pas d'arriver à une autre conclusion.</w:t>
      </w:r>
    </w:p>
    <w:p>
      <w:r>
        <w:rPr>
          <w:b/>
        </w:rPr>
        <w:t>E. 9</w:t>
      </w:r>
    </w:p>
    <w:p>
      <w:r>
        <w:t>La garantie de la propriété (art. 26 Cst.) n'est pas absolue et doit ici céder le pas devant les intérêts contraires à la sauvegarde du site marécageux et du milieu caractéristique des zones alluviales, qui accueillent notamment amphibiens et oiseaux d'eau. L'interdiction de construire une nouvelle maison d'habitation constitue par ailleurs une mesure appropriée, nécessaire et proportionnée pour remédier à l'aggravation de l'atteinte au site marécageux. Au final, pour tous les motifs qui précèdent et en raison de la force dérogatoire du droit fédéral (art. 49 Cst.), l’existence d’une planification cantonale autorisant les constructions sur la parcelle en question n’a pas d’incidence sur le résultat de l’examen des conditions légales applicables au site marécageux protégé et à ses biotopes. Il en résulte que les planificateurs communal et cantonal n'avaient pas adéquatement tenu compte des intérêts en présence pour élaborer le PPA du Hameau des Grangettes. C'est ainsi en violation de l'art. 78 al. 5 Cst., de ses dispositions d'application, en particulier l'art. 23d LPN, et de celles régissant les inventaires fédéraux pertinents que le permis de construire contesté a été délivré. Il en résulte que la construction litigieuse est matériellement illégale, qu'elle n'aurait pas dû être autorisée et que le permis de construire doit être annulé. Dès lors que le permis de construire doit de toute façon être annulé, il n'est pas nécessaire d'examiner dans la présente cause si c'est à bon droit que le SDT/DGTL a délivré à l'époque une autorisation spéciale justifiée par la situation de la parcelle supposément située hors zone à bâtir. Cette autorisation doit de toute façon être annulée pour les motifs développés ci-dessus, au même titre que l'autorisation spéciale octroyée par la DGE.</w:t>
      </w:r>
    </w:p>
    <w:p>
      <w:r>
        <w:rPr>
          <w:b/>
        </w:rPr>
        <w:t>E. 10</w:t>
      </w:r>
    </w:p>
    <w:p>
      <w:r>
        <w:t>En vertu de l'art. 7 al. 6 in fine LChP, lorsque des projets affectent des zones protégées d’importance internationale et nationale, il y a lieu de demander le préavis de l’Office fédéral de l’environnement. Selon l'OFEV, cette disposition ne s'adresse pas qu'aux autorités fédérales dans la mesure où cette obligation découle déjà de l'art. 62a al. 1 de la loi fédérale du 21 mars 1997 sur l’organisation du gouvernement et de l’administration (LOGA; RS 172.010). L'art. 6 al. 1 bis OROEM prévoit en outre que, lorsque des autorités fédérales autres que l'OFEV sont compétentes pour l’exécution, la collaboration de ce dernier est régie par les art. 62 a et 62 b LOGA. Les autorités communale et cantonale auraient donc violé l'obligation de consulter l'OFEV dans le cadre de la procédure d'autorisation de construire concernée. Au vu du sort du recours, la question de la violation de l'art. 7 al. 6 LChP peut toutefois rester ouverte.</w:t>
      </w:r>
    </w:p>
    <w:p>
      <w:r>
        <w:rPr>
          <w:b/>
        </w:rPr>
        <w:t>E. 11</w:t>
      </w:r>
    </w:p>
    <w:p>
      <w:r>
        <w:t>L'OFEV conclut encore à la remise en état intégrale de la parcelle concernée, y compris la démolition du bâtiment ECA n° 785 et de tout autre aménagement. La municipalité, la DGE, la DGTL, ainsi que les constructeurs s'y opposent, arguant du fait que cela violerait le principe de la proportionnalité et de la bonne foi. Le présent recours est dirigé contre les décisions spéciales cantonales du 23 mars 2014 et l'autorisation de construire délivrée le 13 mars 2014, dont on a vu qu'elles étaient illégales et doivent donc être réformées.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w:t>
      </w:r>
    </w:p>
    <w:p>
      <w:r>
        <w:rPr>
          <w:b/>
        </w:rPr>
        <w:t>E. 12</w:t>
      </w:r>
    </w:p>
    <w:p>
      <w:r>
        <w:t>Il résulte des considérants qui précèdent que le recours est irrecevable s'agissant du plan partiel d'affectation. Concernant les décisions portant sur l'autorisation de construire, le recours est admis et conduit à la réforme des décisions attaquées en ce sens qu'aussi bien les autorisations cantonales spéciales que l'autorisation de construire municipale ne sont pas délivrées.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n'obtient que partiellement gain de cause puisque deux de ses conclusions sont déclarées irrecevables. Par conséquent, seul un émolument de justice réduit de moitié sera mis à la charge des constructeurs, qui succombent s'agissant de l'autorisation de construire. Le solde de l'émolument restera à la charge de l'Etat puisqu'aucuns frais ne peuvent être exigés de la Confédération (art. 52 al. 1 LPA-VD). Succombant partiellement, l'OFEV versera des dépens réduits aux constructeurs. La municipalité, dont la décision est entièrement annulée,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