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AC.2023.0357 vom 12. September 2024</w:t>
      </w:r>
    </w:p>
    <w:p>
      <w:r>
        <w:t>VD Tribunal cantonal, 2024-09-12, FR</w:t>
      </w:r>
    </w:p>
    <w:p>
      <w:r>
        <w:rPr>
          <w:b/>
        </w:rPr>
        <w:t xml:space="preserve">Quelle: </w:t>
      </w:r>
      <w:r>
        <w:t>https://mcp.opencaselaw.ch/entscheid/vd_omni_AC.2023.0357</w:t>
      </w:r>
    </w:p>
    <w:p>
      <w:r>
        <w:t>FR: VD_OMNI AC.2023.0357 du 12 septembre 2024</w:t>
      </w:r>
    </w:p>
    <w:p>
      <w:r>
        <w:t>IT: VD_OMNI AC.2023.0357 del 12 settembre 2024</w:t>
      </w:r>
    </w:p>
    <w:p>
      <w:pPr>
        <w:pStyle w:val="Heading2"/>
      </w:pPr>
      <w:r>
        <w:t>Regeste</w:t>
      </w:r>
    </w:p>
    <w:p>
      <w:r>
        <w:t>A.________, B.________, C.________, D.________, E.________, F.________, G.________, H.________, I.________, J.________, K.________ /Municipalité de Lonay, Direction générale de l'environnement DGE-DIRNA, L.________ | Projet de construction d'une seconde villa et d'un garage sur une parcelle de 1'590 m2 supportant déjà une villa. L'établissement d'un plan d'arborisation et le déplacement du garage avec une réduction de sa taille n'impliquent pas une nouvelle mise à l'enquête publique (consid. 1). Constat que le projet n'est pas conforme à la disposition du règlement communal qui prévoit que la surface minimale d'une parcelle est de 900 m2 pour une construction contenant au maximum un logement, 1200 m2 pour une construction contenant au maximum deux logements superposés et 1400 m2 pour une construction contenant au maximum deux logements juxtaposés. Le fait que la municipalité envisage de supprimer cette disposition dans le cadre du nouveau PACom n'est pas déterminant. Constat que l'octroi d'une dérogation ne se justifie pas (consid. 4). Recours admis.</w:t>
      </w:r>
    </w:p>
    <w:p>
      <w:pPr>
        <w:pStyle w:val="Heading2"/>
      </w:pPr>
      <w:r>
        <w:t>Erwägungen</w:t>
      </w:r>
    </w:p>
    <w:p>
      <w:r>
        <w:rPr>
          <w:b/>
        </w:rPr>
        <w:t>E. 1</w:t>
      </w:r>
    </w:p>
    <w:p>
      <w:r>
        <w:t>Les recourants soutiennent que, vu la réalisation du plan d’arborisation du 8 août 2023 et le déplacement du garage, une nouvelle enquête publique aurait dû être mise en œuvre. 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p.ex. CDAP AC.2021.0041 du 14 avril 2022 consid. 3a/bb).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CDAP AC.2017.0410 du 26 juin 2018 consid. 1b; AC.2017.0264 du 20 avril 2018 consid. 2a et les arrêts cités).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(cf. CDAP AC.2017.0179 du 13 juillet 2018 consid. 2b/bb et les arrêts cités; AC.2017.0067 du 6 décembre 2017 consid. 9a).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du règlement du 19 septembre 1986 d’application de la LATC (RLATC; BLV 700.11.1). Enfin, les modifications qui dépassent le cadre de l'art. 72b RLATC doivent faire l’objet d’une nouvelle enquête publique principale selon l’art. 109 LATC (cf. CDAP AC.2020.0081 du 21 juillet 2021 consid. 4a/bb).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(CDAP AC.2020.0270 du 9 novembre 2021 consid. 2b/cc; AC.2019.0284 consid. 2b; AC.2019.0087 consid. 11a/bb; arrêt AC.2019.0133 du 25 février 2020 consid. 1a) ou lorsqu'elles visent à rendre le projet réglementaire (CDAP AC.2021.0230, AC.2021.0230 du 4 mai 2022 consid. 3b/dd AC.2020.0246 du 21 mai 2021 consid. 2a et les références citées; AC.2020.0235 du 20 mai 2021 consid. 2a). a) aa) En l’espèce, le dossier d’enquête publique n’était pas conforme s’agissant des arbres à abattre puisqu’il ne contenait aucune indication au sujet de ces arbres (par exemple les essences). Le même constat peut être fait en ce qui concerne les mesures de compensation. On peut toutefois admettre que cette informalité a été réparée ultérieurement avec la production du plan d’arborisation du 8 août 2023 et du nouveau plan de situation du 17 mai 2024, étant précisé que les recourants ont pu prendre connaissance   de ces plans et se déterminer à leur sujet dans le cadre de la procédure de recours. bb) On relèvera au surplus que le déplacement du garage (et la réduction de sa taille) ne nécessite pas une enquête publique complémentaire dès lors qu’il vise à rendre le projet réglementaire et à répondre à une critique des opposants.</w:t>
      </w:r>
    </w:p>
    <w:p>
      <w:r>
        <w:rPr>
          <w:b/>
        </w:rPr>
        <w:t>E. 2</w:t>
      </w:r>
    </w:p>
    <w:p>
      <w:r>
        <w:t>Les recourants demandent qu’il soit procédé à l’audition d’un membre de l’hoirie anciennement propriétaire de la parcelle n° 804, M. Q.________, afin qu’il se prononce sur l’affirmation de la constructrice selon laquelle elle aurait pris en engagement vis-à-vis de l’hoirie de maintenir la maison existant sur la parcelle. Sur la base d’une appréciation anticipée des preuves, il n’y a pas lieu de donner suite à cette requête. En effet, la question de savoir si un tel engagement existe vis-à-vis des anciens propriétaires n’a aucune incidence sur la réglementarité du projet, notamment sur le respect de l’art. 29 RC.</w:t>
      </w:r>
    </w:p>
    <w:p>
      <w:r>
        <w:rPr>
          <w:b/>
        </w:rPr>
        <w:t>E. 3</w:t>
      </w:r>
    </w:p>
    <w:p>
      <w:r>
        <w:t>Il convient de relever que, s’agissant du garage et de son implantation, l’autorisation de construire correspond au permis complémentaire du 31 mai 2024, qui se fonde sur le "plan de situation" du 17 mai 2024. C’est par conséquent à tort que les recourants font valoir dans leur dernière écriture que la constructrice pourra choisir l’implantation du garage sur la base des plans précédents. S’agissant du garage, ces plans sont en effet remplacés par le plan du 17 mai 2024 et c’est la réglementarité de l’implantation du garage correspondant à ce plan qui sera examinée ci-après. On relève également que les indications figurant sur le "plan de situation" du 17 mai 2024 concernant les plantations compensatoires et la protection du cèdre de l’Atlas font partie du permis de construire et s’imposent par conséquent à la constructrice.</w:t>
      </w:r>
    </w:p>
    <w:p>
      <w:r>
        <w:rPr>
          <w:b/>
        </w:rPr>
        <w:t>E. 4</w:t>
      </w:r>
    </w:p>
    <w:p>
      <w:r>
        <w:t>En se fondant sur le fait que, avec la construction litigieuse, la parcelle n° 804 accueillera deux constructions, les recourants invoquent une violation de l’art. 29 RC. a) L’art. 29 RC a la teneur suivante: " La surface minimale d'une parcelle est de : -900 m2 pour une construction contenant au maximum un logement -1200 m2 pour une construction contenant au maximum deux logements superposés -1400 m2 pour une construction contenant au maximum deux logements juxtaposés -700 m2 pour une construction mitoyenne (édifiée en limite de propriété) contenant au maximum un logement Les surfaces de terrains en zone viticole, de verdure ou en aire forestière ne rentrent pas en considération dans le calcul de la surface minimum. " b) Le projet initial prévoyait que la construction litigieuse devait être réalisée sur une nouvelle parcelle de 684 m 2 . Dès lors que la surface minimale de 900 m 2 pour une construction comprenant au minimum un logement n’était pas respectée, la municipalité avait décidé d’octroyer une dérogation. Dans la décision attaquée, celle-ci était justifiée par le fait que la disposition exigeant une surface minimale de 900 m 2 ne serait plus "en adéquation avec les besoins actuels en logements" et par le fait que cette disposition allait être supprimée lors de la prochaine révision du plan d’affectation communal. Par la suite, la constructrice a renoncé à diviser la n° 804. Il convient par conséquent d’examiner en premier lieu si le fait de réaliser une seconde construction sur une parcelle de 1'590 m 2 respecte l’art. 29 RC. c) Selon une jurisprudence constante, la municipalité jouit d'un certain pouvoir d'appréciation dans l'interprétation qu'elle fait des règlements communaux (CDAP AC.2023.0201 du 21 décembre 2023 consid. 2a;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AC.2022.0371 du 13 décembre 2023 consid. 4c; AC.2019.0262 du 19 février 2021 consid. 5b).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 ATF 146 II 367 consid. 3.1.4; 115 Ia 114 consid. 3d; CDAP AC.2023.0191 du 25 janvier 2024 consid. 5a). Lorsque plusieurs interprétations sont envisageables, il faut s’en tenir à celle qui respecte l’exigence d’une base légale précise pour les restrictions du droit de propriété issues du droit public (CDAP AC.2022.0417 du 2 novembre 2023 consid. 3a/bb). d) La règle fixant la surface minimum d’une parcelle constructible, comme celle contenue à l’art. 29 RC, a pour but d’éviter un morcellement excessif du sol (RDAF 1970 p. 147 et 271; CDAP AC.2018.0283 du 17 avril 2019 consid. 2). Du point de vue des urbanistes, une telle règle peut avoir pour objectif, soit de favoriser l’accession à la propriété (lorsque la surface minimale est faible et permet la construction d’habitation sur une petite parcelle), ou au contraire (si la surface minimale est importante, 2'000 voire 3'000 m 2 ) de limiter la venue de nouveaux habitants au cercle des personnes possédant une certaine capacité contributive (objectif fiscal) (CDAP AC.2018.0283 précité consid. 2; TA AC.2002.0016 du 7 juillet 2003 consid. 1).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(RDAF 1986, p. 326 et 416; Jean-Luc Marti, Distance, coefficient et volumétrie des constructions en droit vaudois, 1988, p. 77 ss ; CDAP AC.2018.0283 précité consid. 2). En l'absence de normes fixant le coefficient d’occupation ou d’utilisation du sol, elle constitue le moyen de limiter le développement quantitatif d’une zone à bâtir en fonction des objectifs d’aménagement du territoire fixés au moment de la planification. En effet, au travers d’une telle réglementation appliquée à un périmètre déterminé, le législateur définit le nombre maximum de parcelles constructibles qui pourront être créées. La détermination d’une surface minimum est ainsi étroitement liée à celle de l’étendue de la zone à laquelle elle devra s’appliquer (CDAP AC.2018.0283 précité consid. 2; TA AC.1993.0057 du 11 mai 1993 consid. 3). Ce système contribue également à une meilleure homogénéité du tissu construit ou à bâtir (Marti, op. cit., p. 78). La jurisprudence a déjà eu l'occasion de dire qu'il n'en allait pas différemment lorsque la réglementation applicable conjugue l'exigence d'une surface minimale et un COS ou un CUS, comme c'est le cas dans la Commune de Lonay. Certes dans cette hypothèse la surface minimale n'a plus guère de rôle à jouer sur la densité des constructions. Elle continue toutefois d'influencer certaines caractéristiques de l'occupation du sol, en prévenant la multiplication de petites constructions sur des parcelles exiguës (CDAP AC.2018.0283 précité consid. 2; TA AC.2001.0161 du 7 février 2002 consid. 4b/bb; AC.1993.0057 du 11 mai 1993 consid. 3; voir aussi AC.1995.0297 du 23 octobre 1996 consid. 2b/aa et AC.1994.0287 du 19 juillet 1995 consid. 2). e) En l’occurrence, même si la rédaction n’est pas parfaitement claire, on peut déduire de l’art. 29 RC la volonté du législateur communal que chaque construction abritant un logement (soit notamment les villas individuelles) dispose d’une surface de 900 m 2 , ce qui implique une parcelle d’au minimum 1800 m 2 pour accueillir deux constructions d’un logement. Cette volonté résulte notamment de la prise de position de la Commission d’urbanisme du Conseil communal sur la proposition présentée par la municipalité dans le cadre de l’élaboration du nouveau plan d’affectation communal à la fin des années 1990, proposition qui tendait à réduire de 900 m 2 à 700 m 2 la surface minimale d’une parcelle destinée à accueillir une construction d’un logement. La Commission d’urbanisme, qui a ensuite été suivie par le Conseil communal, avait en effet indiqué qu’une construction individuelle devait continuer à bénéficier d’une surface de terrain de 900 m 2 , ce qui impliquait logiquement que chaque bâtiment d’habitation devait bénéficier d’une telle surface. L’art. 29 RC a ainsi manifestement pour but de limiter le nombre total de constructions qui peuvent être édifiées dans la zone d’habitation individuelle. Or, on voit ainsi mal comment on peut concilier cet objectif avec une interprétation de l’art. 29 RC qui permettrait d’accueillir un nombre non limité de constructions dès le moment où la surface de la parcelle est supérieure à 900 m 2 (ou éventuellement à 1400 m 2 ), soit notamment deux villas individuelles sur une parcelle de moins de 1800 m 2 . f) Il convient encore d’examiner si le projet peut être autorisé sur la base d’une dérogation. aa) Le droit cantonal règle les conditions pour les dérogations dans la zone à bâtir, l'art. 85 al. 1 LATC énonçant le principe suivant: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La Commune de Lonay a fait usage de cette faculté à l'art. 7 RC, qui prévoit que, conformément à l'art. 85 LATC, des dérogations peuvent être accordées par la municipalité pour autant que des motifs d’intérêt public ou des circonstances objectives le justifient. L’octroi de dérogations ne doit pas porter atteinte à un intérêt public ou à des intérêts prépondérants de tiers (al. 1). Ces dérogations peuvent être accordées à titre temporaire ou définitif et être assorties de conditions et charges particulières (al. 2). La demande de dérogation est mise à l’enquête publique selon les mêmes modalités que la demande de permis de construire (al. 3). bb)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règlementation ordinaire.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(TF 1C_452/2020 du 21 octobre 2021 consid. 4.3, et les références citées; voir aussi CDAP AC.2021.0243 du 2 juin 2021 consid. 2; AC.2020.0350 du 2 juin 2021 consid. 2d; AC.2020.0121 du 7 janvier 2021 consid. 2d et les références citées; AC.2018.0414 du 16 juillet 2019 consid. 8b, concernant une dérogation à la distance entre bâtiments sur une même parcelle en lien avec un complexe scolaire et où l'octroi de la dérogation avait été validée). Les raisons purement économiques ou l'intention d'atteindre la meilleure solution architecturale, ou encore une utilisation optimale du terrain, ne suffisent pas à elles seules à conduire à l'octroi d'une dérogation (CDAP AC.2020.0350 du 2 juin 2021 consid. 2d; AC.2020.0121 du 7 janvier 2021 consid. 2d et les réf.cit.). Confrontée à l'octroi ou au refus d'une dérogation, l’autorité de recours se limite à sanctionner un abus ou un excès dans le pouvoir d'appréciation de la municipalité (CDAP AC.2021.0243 précité consid. 2; AC.2018.0091 du 5 décembre 2018 consid. 3c). Comme la CDAP a eu l’occasion de le constater récemment (cf. arrêt AC.2022.0297 du 20 juillet 2023 consid. 4c/bb), une pratique de la municipalité consistant à octroyer des dérogations pour palier une lacune que présenterait selon elle le règlement communal n'apparaît pas admissible. Il n'appartient en effet pas à la municipalité de modifier ou compléter le règlement communal en octroyant des dérogations. En d'autres termes, on ne peut pas, par l'octroi de dérogations, fixer de nouvelles règles d'affectation du sol dans le cadre de procédures d'autorisations de construire (CDAP AC.2012.0304 du 10 décembre 2013 consid. 3c et les arrêts cités). Il a ainsi été jugé que l’octroi d’une dérogation ne peut en principe pas servir à éluder les dispositions (essentielles) d'une réglementation en vigueur qualifiées d'obsolètes au profit d’une application anticipée d’une réglementation en cours d'adoption jugée mieux adaptée aux circonstances actuelles (CDAP AC. 2017.0079, 2017.0080 du 5 avril 2018 consid. 5). cc) En l’espèce, on ne voit pas quel intérêt public pourrait justifier l’octroi d’une dérogation aux exigences posées à l’art. 29 RC. Vu la localisation de la parcelle n° 804 à l’extérieur du village de Lonay, dans un secteur qui ne paraît pas spécialement bien desservi par les transports publics, une dérogation ne saurait notamment se justifier par l’intérêt à la densification de ce secteur. On l’a vu, le fait que la municipalité propose de supprimer la règle exigeant une surface minimale pour les parcelles dans le projet de nouveau PACom adressé à la DGTL pour examen préalable n’est pas déterminant. La constructrice ne saurait ainsi rien déduire en sa faveur d’un – éventuel – changement de réglementation qui pourrait intervenir dans le cadre de la révision du plan général d’affectation communal actuellement en cours (dont l’issue n’est d’ailleurs pas connue à ce jour; on rappelle à cet égard que la municipalité avait déjà voulu assouplir cette règle à la fin des années 1990, assouplissement qui n’avait pas été admis par le Conseil communal). En effet, s’il connaît un effet anticipé négatif des plans d'affectation, le droit vaudois de la construction ne prévoit en revanche pas d’effet anticipé positif – par quoi on entend l’application du droit futur, qui n’est pas encore entré en vigueur, en lieu et place du droit actuel – pour la période qui précède l’entrée en vigueur des plans et règlements (cf. CDAP AC.2020.0078 du 25 mars 2021 consid. 2c/cc; AC.2019.0401 du 6 juillet 2020 consid. 12b; AC.2019.0206 du 28 avril 2020 consid. 2g). On peut encore relever qu'on ne voit pas en quoi l'octroi d'une dérogation dans le cas d'espèce sert la loi ou les objectifs cherchés par celle-ci. Dans ces circonstances, l’octroi d’une dérogation ne se justifie pas. g) Vu ce qui précède, le grief relatif à l’art. 29 RC est fondé et le recours doit être admis pour ce motif. Il résulte des considérants qui précèdent que le recours doit être admis en raison de la violation de l’art. 29 RC. La décision de la municipalité du 8 septembre 2023 levant l’opposition des recourants est annulée. Sont également annulés le permis de construire daté du 3 juillet 2023 et le permis de construire complémentaire du 31 mai 2024. Vu ce qui précède, il n’est pas nécessaire d’examiner les autres griefs des recourants, soit ceux relatifs au CUS, à l’indice de verdure, à l’abattage des arbres, à l’empiètement du garage sur la limite des constructions de 1974 et à l’esthétique. De jurisprudence constante, lorsque la procédure met en présence, outre le recourant et l'autorité intimée, une ou plusieurs parties dont les intérêts sont opposés à ceux du recourant, comme en l'occurrence la constructrice, c'est en principe à la partie adverse déboutée, à l'exclusion de la collectivité publique dont la décision est annulée ou modifiée, de supporter les frais et les dépens (cf. notamment CDAP AC.2017.0009 du 9 février 2018; AC.2014.0389 du 15 décembre 2015 consid. 9; AC.2012.0241 du 17 juin 2013 consid. 8 et les références). L'émolument de justice, ainsi qu'une indemnité à titre de dépens en faveur des recourants qui ont procédé avec l'assistance d'un avocat, seront donc mis à la charge de la constructrice qui succombe (art. 49 et 55 de la loi du 28 octobre 2008 sur la procédure administrative [LPA-VD; BLV 173.36]; art. 4 et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