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AC.2023.0336 vom 15. Januar 2025</w:t>
      </w:r>
    </w:p>
    <w:p>
      <w:r>
        <w:t>VD Tribunal cantonal, 2025-01-15, FR</w:t>
      </w:r>
    </w:p>
    <w:p>
      <w:r>
        <w:rPr>
          <w:b/>
        </w:rPr>
        <w:t xml:space="preserve">Quelle: </w:t>
      </w:r>
      <w:r>
        <w:t>https://mcp.opencaselaw.ch/entscheid/vd_omni_AC.2023.0336</w:t>
      </w:r>
    </w:p>
    <w:p>
      <w:r>
        <w:t>FR: VD_OMNI AC.2023.0336 du 15 janvier 2025</w:t>
      </w:r>
    </w:p>
    <w:p>
      <w:r>
        <w:t>IT: VD_OMNI AC.2023.0336 del 15 gennaio 2025</w:t>
      </w:r>
    </w:p>
    <w:p>
      <w:pPr>
        <w:pStyle w:val="Heading2"/>
      </w:pPr>
      <w:r>
        <w:t>Regeste</w:t>
      </w:r>
    </w:p>
    <w:p>
      <w:r>
        <w:t>A.________/Département des institutions, du territoire et du sport (DITS), Conseil communal de Bottens | Recours contre le plan d'affectation communal (PACom) de Bottens. Il n'y a pas lieu de remettre en cause le surdimensionnement de la zone à bâtir: au vu de ses services et équipements, la commune doit être considérée comme un village hors centre (et non une localité à densifier) au sens du PDCn. L'affectation de la parcelle de la recourante, qui passe de la zone intermédiaire à la zone agricole, n'est pas critiquable. L'intérêt public à réduire le surdimensionnement de la zone à bâtir et à préserver les SDA l'emporte sur celui de créer de nouvelles possibilités de bâtir sur une parcelle demeurée jusqu'à ce jour inconstructible. Rejet du recours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la recourante conteste la décision cantonale d'approbation du PACom. On comprend cependant, à la lecture de l'acte de recours et des conclusions, qu'elle demande aussi l'annulation, subsidiairement la réforme de la décision communale d'adoption du plan, dans la mesure relative à la parcelle n° 912. b) D'après la jurisprudence (ATF 141 II 50 consid. 2.1; CDAP AC.2021.0351 du 11 juillet 2022 consid. 1c; AC.2020.0065 du 15 mars 2021 consid. 1) ,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la recourante a formé opposition durant l'enquête publique et durant l'une des enquêtes complémentaires. Dès lors qu'elle conteste le classement de sa parcelle en zone non constructible, mesure restreignant l'usage du bien-fonds, elle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A titre de mesures d’instruction, la recourante a requis la production par l'autorité communale intimée des pièces suivantes: copie des permis de construire délivrés depuis 2015 sur des parcelles non construites ayant appartenu à des agriculteurs sur le territoire de la commune de Bottens; toutes pièces ou documents permettant d'attester un remembrement parcellaire sur la commune de Bottens; tout document permettant de définir les critères " objectifs " ayant accompagné l'autorité communale dans les choix de dézonage; tout document permettant de démontrer les " situations comparables " à la recourante. Le tribunal s’estime toutefois suffisamment renseigné par les éléments figurant au dossier. Les réquisitions de la recourante, qui n’apparaissent ni nécessaires ni de nature à influer le sort de la cause, comme on le verra ci-dessous, sont par conséquent rejetées par une appréciation anticipée des preuves (ATF 145 I 167 consid. 4.1; 140 I 285 consid. 6.3.1; art. 28 al. 2 et 34 al. 3 LPA-VD).</w:t>
      </w:r>
    </w:p>
    <w:p>
      <w:r>
        <w:rPr>
          <w:b/>
        </w:rPr>
        <w:t>E. 3</w:t>
      </w:r>
    </w:p>
    <w:p>
      <w:r>
        <w:t>La recourante conteste l'affectation de sa parcelle n° 912 qui passe de la zone intermédiaire à la zone agricole. Elle invoque implicitement la protection de sa bonne foi en relevant que le secteur " En Saint-Livre " dans lequel est compris son bien-fonds avait été clairement identifié, dans un schéma directeur d'affectation du 31 août 1992, comme un secteur central du territoire à densifier. Elle souligne aussi que le rapport d'aménagement selon l'ancien art. 26 OAT établi en juin 1993 dans le cadre de la précédente révision du plan général d'affectation retenait que le quartier faisait partie du territoire largement bâti et qu'il devait être mis en valeur. La recourante estime qu'elle pouvait s'attendre à ce que ce secteur reste considéré comme une position centrale de Bottens, au vu des assurances résultant de cette planification et attestant le caractère central et à densifier de cette zone. Elle invoque le principe de la stabilité des plans.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 Dans le cas présent, la parcelle n° 912 a été colloquée en zone intermédiaire lors de la révision de la planification communale entrée en vigueur en 1994, soit il y a trente ans. La recourante a produit une copie du rapport d'aménagement selon l'ancien art. 26 OAT établi dans ce cadre. Ce rapport mentionne que " le secteur « En Saint-Livre » occupe, par sa position centrale dans le village, une position privilégiée qui ne peut être sacrifiée pour n'importe quelle affectation " et que " sa mise en valeur par plan de quartier pourrait donner la possibilité de créer un centre de village favorisant le développement d'activités, d'habitations ainsi que d'espaces publics ". Ainsi, le secteur " En Saint-Livre " était considéré à l'époque comme un emplacement central du village à densifier, étant toutefois précisé que la partie centrale de ce secteur, comprenant la parcelle n° 912, avait alors été colloquée en zone intermédiaire non constructible. La commune s'est par la suite développée dans d'autres secteurs et le droit fédéral a changé, le 1 er mai 2014. Dès le 27 mai 2015, les propriétaires sur le territoire communal ont été avisés de l'intention des autorités communales de redimensionner la zone à bâtir aux fins de la rendre conforme aux exigences de la LAT révisée. La recourante a ainsi été informée d'une possible réduction à venir des zones constructibles. On ne saurait dans ces circonstances considérer que les autorités communales lui auraient donné une quelconque assurance concrète quant à une affectation de la parcelle n° 912 en zone à bâtir. Quant au principe de la stabilité des plans, l'art. 21 al. 2 LAT réserve expressément une adaptation des plans lorsqu'une modification sensible des circonstances l'impose. Une telle adaptation est susceptible d'entrer en ligne de compte ici au vu notamment du caractère ancien de la planification actuelle qui remonte à 1994. Ce grief est en conséquence écarté.</w:t>
      </w:r>
    </w:p>
    <w:p>
      <w:r>
        <w:rPr>
          <w:b/>
        </w:rPr>
        <w:t>E. 4</w:t>
      </w:r>
    </w:p>
    <w:p>
      <w:r>
        <w:t>La recourante remet en cause le surdimensionnement de la zone à bâtir de la commune de Bottens, qui devrait, selon elle, être qualifiée de localité à densifier .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Le PDCn fixe l'année de référence à 2015 (à savoir en nombre d'habitants au 31 décembre 2015) et arrête l'horizon de planification à 2036. Le développement maximal d'une commune hors centre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c) Il ressort en l'espèce du rapport 47 OAT qu'au moment du bilan, les besoins en zone à bâtir étaient de 192 habitants à l'horizon 2036 (soit 0,75 % de la population au 31 décembre 2015 [1'220 habitants] x 21 années) et le potentiel d’accueil communal de 355 habitants. Compte tenu de la croissance de la population de 20 habitants entre 2015 et 2016, le rapport 47 OAT retient que la commune présente une surcapacité d’accueil de 183 habitants (355 - 192 + 20 habitants). La recourante estime que les besoins en zone à bâtir au moment du bilan ont été sous-évalués. A son avis, la commune de Bottens devrait être considérée comme une localité à densifier notamment en raison de la qualité de la desserte en transports publics qu'elle qualifie d'excellente (bus vers le centre de Lausanne et car postal vers Echallens et Moudon). Ainsi, avec un taux de croissance annuelle de 1,5 %, les possibilités de développement jusqu'au 31 décembre 2036 seraient de 384 habitants (soit 1,5 % de la population au 31 décembre 2015 [1'220 habitants] x 21 années). La recourante en conclut que les réserves de zone à bâtir ne seraient pas excédentaires (355 - 384 + 20 habitants = capacité résiduelle de 9 habitants). Elle conteste ainsi un surdimensionnement. Cet argument ne peut être suivi. La commune de Bottens n'est pas identifiée comme une localité à densifier au sens du PDCn (cf. carte de synthèse du PDCn, disponible sur le guichet cartographique et sur le site de l'Etat de Vaud [www.vd.ch, rubrique Territoire et construction &gt; Aménagement du territoire &gt; Plan directeur cantonal]), lequel a force obligatoire pour les autorités (cf. art. 9 al. 1 LAT). En effet, nonobstant une bonne desserte en transports publics, avec notamment trois à quatre bus vers Lausanne (ligne n° 60) aux heures de pointe et un à deux bus par heure le reste de la journée, l'autorité cantonale intimée a rappelé que la commune de Bottens ne remplissait pas les critères relatifs aux services et équipement prévus dans la mesure B12 du PDCn. Elle se situe à proximité de localités à densifier, de centres locaux, voire d'un centre régional et fait dès lors partie de leur bassin de vie. L'autorité cantonale estime par conséquent que la création d'un nouveau centre local irait à l'encontre de l'objectif d'un réseau fort de centre. Le tribunal ne voit aucune raison de s'écarter de cette appréciation de l'autorité cantonale spécialisée. Par conséquent et dès lors que la commune de Bottens doit être considérée comme un village hors centre, c'est à juste titre que les autorités de planification ont retenu un taux de croissance annuelle de 0,75 % et une surcapacité d'accueil de 183 habitants. Il n'est ainsi pas contestable que la zone à bâtir de la commune de Bottens est surdimensionnée et qu'elle doit être réduite conformément aux exigences du droit fédéral (cf. art. 15 al. 2 LAT) et du PDCn. Toujours en lien avec la question du surdimensionnement, la recourante fait grief aux autorités intimées de ne pas avoir tenu compte de la qualité des espaces bâtis, notion mise en avant dans le cadre de la révision complète du PDCn entamée récemment. La recourante se réfère à la plateforme en ligne de l'Etat de Vaud " PDCn 2050 ", qui indique qu'une " politique de renforcement des agglomérations et des centres est appliquée depuis plusieurs décennies " pour " assurer un accès aux services et équipements sur tout le territoire cantonal ", et que "[ s]i elle conduit à une utilisation plus rationnelle et mesurée du sol, cette démarche ne prend pas encore suffisamment en considération la qualité des espaces bâtis " (cf. www.vd.pdcn.ch, rubrique Perspectives pour le territoire &gt; Espaces bâtis &gt; Requalifier les espaces bâtis). On ne discerne cependant pas en quoi cet argument plaiderait en faveur de l'affectation de la parcelle n° 912, jusqu'ici non constructible, dans la zone à bâtir malgré le surdimensionnement de la commune de Bottens, étant notamment rappelé la proximité de cette parcelle avec une surface non bâtie conséquente. Au vu de ce qui précède, il n'y a pas lieu de remettre en cause le caractère surdimensionné de la zone à bâtir de la commune de Bottens.</w:t>
      </w:r>
    </w:p>
    <w:p>
      <w:r>
        <w:rPr>
          <w:b/>
        </w:rPr>
        <w:t>E. 5</w:t>
      </w:r>
    </w:p>
    <w:p>
      <w:r>
        <w:t>La recourante conteste en substance l'opportunité de la planification et la pesée d'intérêts effectuée par les autorités intimées dans le cadre de la révision de la planification communale. Elle soutient que l'affectation de sa parcelle en zone agricole viole les principes de la garantie de la propriété et de la proportionnalité. a)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b)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cf. www.vd.ch, rubrique Territoire et construction &gt; Aménagement du territoire &gt; Plan d'affectation communal) définit la stratégie de redimensionnement suivante: "[…] • Dézoner toutes les franges de la zone à bâtir en zone agricole. Ces franges sont identifiées lors de la délimitation du territoire urbanisé et des noyaux largement bâtis de la commune […] . Les secteurs qui répondent aux critères des surfaces d’assolement devront être dézonés en priorité et affectés en zone agricole […]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La fiche d'application précitée prévoit une première phase dans le processus de révision du plan général d'affectation, à savoir la délimitation du territoire urbanisé et des noyaux largement bâtis. Selon une autre fiche d'application de la DGTL intitulée " Territoire urbanisé; Comment délimiter le territoire urbanisé? " (version de février 2019), le territoire urbanisé comprend les territoires largement bâtis situés en zone à bâtir formant le cœur d'une localité, y compris les terrains non bâtis à vocation urbaine. Sa délimitation se déroule selon les étapes suivantes: "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w:t>
      </w:r>
    </w:p>
    <w:p>
      <w:r>
        <w:rPr>
          <w:b/>
        </w:rPr>
        <w:t>E. 5.2</w:t>
      </w:r>
    </w:p>
    <w:p>
      <w:r>
        <w:t>et les références citées).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Dans le cas présent, l'autorité communale intimée a choisi de dézoner en priorité les terrains en zone à bâtir situés en dehors du territoire urbanisé. La recourante conteste cette délimitation du territoire urbanisé, dans la mesure où celui-ci n'inclut pas l'intégralité du secteur " En Saint-Livre " et plus particulièrement la parcelle n° 912 (cf. plan du territoire urbanisé en p. 22 du rapport 47 OAT). Elle rappelle que ce quartier avait été identifié dès 1992 comme faisant partie du territoire largement bâti et qu'il est équipé et bien desservi par la route cantonale et les transports publics. La délimitation du territoire urbanisé aurait été effectuée de manière arbitraire, dans le seul but d'affecter le secteur " En Saint-Livre " à la zone agricole. Ces arguments ne résistent pas à l'examen. La parcelle litigieuse se trouve certes dans un quartier proche d'axes routiers (en particulier la route de Thierrens) et des transports publics desservant la localité. A l'exception des parcelles voisines n os 14 et 466 qui sont construites, elle est entourée pour l'essentiel de biens-fonds non construits également colloqués en zone intermédiaire selon le PGA de 1994. Elle ne comporte aucun accès à la voie publique. La parcelle n° 912 est en nature de pré-champ et elle fait partie d'une vaste surface non construite qui dépasse largement la limite de 2'500 m 2 , au-delà de laquelle un espace vide situé au milieu du bâti doit en principe être affecté à la zone agricole en vertu de la fiche d'application de juin 2021 de la DGTL précitée. Son exclusion du territoire urbanisé peut donc être confirmée. Ainsi, compte tenu des caractéristiques de la parcelle n° 912, son affectation en zone agricole, quand bien même elle se trouve à proximité de parcelles construites, n'apparaît pas critiquable. Qu'un autre découpage soit possible ne remet pas en cause l'opportunité de la mesure contestée, au vu de l'ensemble des intérêts publics en cause. e) Un autre intérêt public important à prendre en considération a en effet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f) La recourante fait valoir que sa parcelle ne répond pas aux critères des SDA et ne se prête pas à une exploitation agricole compte tenu de sa surface, de son emplacement et de son accès. Elle estime donc qu'elle ne remplit pas les exigences de l'art. 16 al. 1 LAT pour pouvoir être classée en zone agricole. Elle met enfin en doute le fait qu'une étude pédologique ait effectivement été réalisée, comme mentionné dans le rapport 47 OAT. Ces arguments ne résistent pas à l'examen. La parcelle litigieuse se trouve certes dans un quartier proche d'axes routiers et à proximité des transports publics desservant la localité. Elle ne dispose en l'état d'aucun accès à la voie publique. Elle figure par ailleurs à l'inventaire des SDA et jouxte pour l'essentiel des terrains (ou portions de terrains) non bâtis du secteur " En Saint-Livre " qui sont majoritairement répertoriés en SDA de qualité I. Il n'apparaît ainsi pas nécessaire de vérifier davantage à ce stade les qualités pédologiques de la parcelle de la recourante.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 f.; 1C_267/2019 du 5 mai 2020 consid. 3.3; CDAP AC.2023.0288 précité consid. 3). Dans ces circonstances, l'intérêt public à réduire le surdimensionnement de la zone à bâtir et à préserver les SDA l'emporte sur celui de créer de nouvelles possibilités de bâtir sur tout ou partie de la parcelle n° 912, demeurée jusqu'à ce jour inconstructible. Au vu des éléments précités et tout bien pesé, le tribunal ne voit pas de raison de s'écarter de l'appréciation des autorités de planification, selon laquelle la parcelle n° 912, jusqu'ici affectée en zone intermédiaire, doit désormais être classée en zone agricole. Cette appréciation découle d'une pesée complète de l'ensemble des intérêts en cause et s'avère conforme au droit et proportionnée. On ne voit en effet pas comment justifier une affectation même partielle de la parcelle en zone à bâtir, même en zone de verdure, qui soit compatible avec la nécessité de réduire le surdimensionnement de la zone à bâtir et préserver les SDA. Dans ce contexte, le grief tiré de la violation de la garantie de la propriété (cf. art. 26 Cst.), qui se confond avec les autres moyens développés par la recourante, ne peut qu'être écarté.</w:t>
      </w:r>
    </w:p>
    <w:p>
      <w:r>
        <w:rPr>
          <w:b/>
        </w:rPr>
        <w:t>E. 6</w:t>
      </w:r>
    </w:p>
    <w:p>
      <w:r>
        <w:t>La recourante se plaint d'une inégalité de traitement par rapport à d'autres propriétaires fonciers dans la commune.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vu ce qui vient d'être exposé, l'affectation de la parcelle n° 912 en zone agricole n'est pas arbitraire mais s'avère au contraire cohérente et conforme au droit. Il n'y a pas lieu de comparer les restrictions imposées à la recourante à celles subies – ou non – par d'autres propriétaires dont les biens-fonds sont classés ou déclassés dans d'autres zones. Au demeurant, le rapport 47 OAT (cf. p. 23) indique que d'autres parcelles jusqu'ici classées en zone intermédiaire ont également été affectées en zone agricole. Ce grief est rejeté.</w:t>
      </w:r>
    </w:p>
    <w:p>
      <w:r>
        <w:rPr>
          <w:b/>
        </w:rPr>
        <w:t>E. 7</w:t>
      </w:r>
    </w:p>
    <w:p>
      <w:r>
        <w:t>Il résulte des considérants qui précèdent que le recours doit être rejeté et que les décisions contestées doivent être confirmées. Succombant, la recourante supportera les frais de justice (art. 49 al. 1 LPA-VD) et versera une indemnité à titre de dépens à la Commune de Bottens, qui a procédé avec l'assistance d'un avocat (art. 55 LPA-VD; art. 10 et 11 du tarif du 28 avril 2015 des frais judiciaires et des dépens en matière administrative [TFJDA; BLV 173.36.5.1]). Il se justifie toutefois de tenir compte, dans l'appréciation des frais et dépens, de l'instruction coordonnée effectuée dans les différentes procédures concernant les parcelles sises dans le secteur " En Saint-Livre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