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AC.2023.0320 vom 15. April 2024</w:t>
      </w:r>
    </w:p>
    <w:p>
      <w:r>
        <w:t>VD Tribunal cantonal, 2024-04-15, FR</w:t>
      </w:r>
    </w:p>
    <w:p>
      <w:r>
        <w:rPr>
          <w:b/>
        </w:rPr>
        <w:t xml:space="preserve">Quelle: </w:t>
      </w:r>
      <w:r>
        <w:t>https://mcp.opencaselaw.ch/entscheid/vd_omni_AC.2023.0320</w:t>
      </w:r>
    </w:p>
    <w:p>
      <w:r>
        <w:t>FR: VD_OMNI AC.2023.0320 du 15 avril 2024</w:t>
      </w:r>
    </w:p>
    <w:p>
      <w:r>
        <w:t>IT: VD_OMNI AC.2023.0320 del 15 aprile 2024</w:t>
      </w:r>
    </w:p>
    <w:p>
      <w:pPr>
        <w:pStyle w:val="Heading2"/>
      </w:pPr>
      <w:r>
        <w:t>Regeste</w:t>
      </w:r>
    </w:p>
    <w:p>
      <w:r>
        <w:t>A.________, B.________/Municipalité d'Orges, C.________ | Recours de propriétaires voisins contre la délivrance d'un permis de construire portant sur la réalisation d'un couvert et d'un réduit de jardin, ainsi que d'une piscine enterrée, et sur la pose de panneaux photovoltaïques en toiture d'un bâtiment existant. Rejet du grief relatif à un défaut de motivation de la décision attaquée (consid. 2). Le couvert et le réduit de jardin litigieux constituant des dépendances de peu d'importance au sens de l'art. 39 RLATC, ils peuvent être implantés dans les espaces réglementaires sur la parcelle de la contructrice dès lors qu'ils n'entraîneront aucun préjudice pour les voisins; l'appréciation de la municipalité en ce sens n'est pas critiquable (consid. 3). Il en va de même s'agissant de la piscine projetée (consid. 4). Rejet du grief des recourants relatif à l'exercice d'une servitude de droit privé (consid. 5). L'installation photovoltaïque projetée répond aux conditions posées par le droit fédéral pour être dispensée d'autorisation de construire (consid. 6). Rejet du recours et confirmation de la décision attaquée.</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Il satisfait en outre aux conditions formelles énoncées par l'art. 79 LPA-VD (applicable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En l'espèce, les recourants ont vu leur opposition levée lors de la procédure d'autorisation de construire et vivent dans une habitation située à proximité directe du projet de construction, sur une des parcelles voisines dont ils sont propriétaires, de sorte que la qualité pour recourir doit leur être reconnue. Le recours étant ainsi recevable, il y a lieu d'entrer en matière sur le fond.</w:t>
      </w:r>
    </w:p>
    <w:p>
      <w:r>
        <w:rPr>
          <w:b/>
        </w:rPr>
        <w:t>E. 2</w:t>
      </w:r>
    </w:p>
    <w:p>
      <w:r>
        <w:t>Dans un premier grief d'ordre formel, les recourants se plaignent d'un défaut de motivation de la décision attaquée. a) Les parties ont le droit d'être entendues (art. 29 al. 2 Cst.; art. 17 al. 2 de la Constitution du canton de Vaud du 14 avril 2003 [Cst-VD; BLV 101.01]; art. 33 ss LPA-VD).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la décision doit notamment contenir " les faits, les règles juridiques et les motifs sur lesquels elle s'appuie" (art. 42 let. c LPA-VD). b) En l'espèce, les recourants font valoir que la décision attaquée serait " très peu motivée " s'agissant du couvert projeté, en particulier concernant les nuisances engendrées par cet ouvrage, et qu'elle ne traiterait pas de la question du respect de la distance minimale au sens de la réglementation communale entre ce couvert et les bâtiments existants. La décision attaquée serait en outre " totalement muette " s'agissant de la création du réduit de jardin projeté, que l'autorité intimée aurait autorisé " sans autre forme d'examen ". En l'occurrence, à la lecture de la décision attaquée, il apparaît que l'autorité intimée a examiné au considérant 2 la question de la conformité du couvert projeté. Elle a ainsi mentionné les motifs soulevés par les opposants en relation avec l'impact de la construction sur la vue et avec le respect de la distance minimale entre bâtiments (consid. 2a). Elle a ensuite cité les dispositions légales et réglementaires dont elle faisait application et indiqué la jurisprudence à laquelle elle se référait en l'espèce (consid. 2b), puis elle a exposé les raisons pour lesquelles elle écartait les griefs des opposants et considérait le couvert en cause comme conforme aux prescriptions, en particulier s'agissant du respect des distances réglementaires (consid. 2c). Dans ces conditions, on ne voit pas de quel défaut de motivation la décision attaquée serait susceptible d'être affectée. S'agissant pour le reste du réduit de jardin projeté, s'il est exact qu'il n'en est pas fait état de manière expresse dans la décision attaquée, il résulte néanmoins implicitement de la lecture du texte de celle-ci que les considérations développées au sujet du couvert s'appliquent également audit réduit, ouvrage accolé au couvert et de dimensions et volume inférieurs à celui-ci, et dont l'implantation par rapport aux bâtiments existants est prévue a fortiori à une distance supérieure à celle du couvert. Il apparaît par conséquent que la décision attaquée était suffisamment motivée pour permettre aux recourants d'en saisir la portée et de la contester utilement devant le Tribunal en exerçant leur droit de recours, ce qu'ils ont fait avec l'assistance d'un avocat. Partant, le grief soulevé doit être rejeté.</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recourants font encore valoir que le projet de construction litigieux porterait atteinte à l'exercice de la servitude de passage à pied et à char n° 134553/29635 constituée à charge de la parcelle n° 21 de la constructrice en faveur de leurs parcelles n os 18 et 78. a) Selon la jurisprudence, les questions relatives au respect des servitudes de droit privé relèvent de la compétence du juge civil et il n'appartient ni à l'autorité administrative ni à la CDAP d'interpréter la servitude de droit privé et d'en contrôler le respect. Lorsque la municipalité est saisie d'une demande de permis de construire pour un projet qui s'implante sur l'assiette d'une servitude, elle n'a pas à se préoccuper de l'accord du titulaire de la servitude (CDAP AC.2022.0126 du 28 juillet 2023 consid. 8; AC.2018.0285 du 4 septembre 2019 consid. 3; AC.2012.0076 du 30 janvier 2013 consid. 9). La CDAP a néanmoins jugé que l'examen du respect d'une servitude est justifié lorsque la solution est déterminante pour juger de la conformité du projet avec la réglementation communale et garantir la bonne application de celui-ci (AC.2016.0027 du 10 mars 2017 consid. 7a). b) En l'espèce, l'examen du respect de la servitude bénéficiant aux biens-fonds des recourants n'est pas déterminant pour juger de la conformité du projet litigieux avec le règlement communal, dont on a vu qu'il était respecté en ce qui concerne la distance aux limites de propriété entre les parcelles des recourants et de la constructrice. Il n'y a dès lors pas lieu de contrôler, à titre préjudiciel, le respect de dite servitude, de sorte que ce grief doit être rejeté.</w:t>
      </w:r>
    </w:p>
    <w:p>
      <w:r>
        <w:rPr>
          <w:b/>
        </w:rPr>
        <w:t>E. 6</w:t>
      </w:r>
    </w:p>
    <w:p>
      <w:r>
        <w:t>Dans un dernier moyen, les recourants font valoir que le dossier mis à l'enquête par la constructrice serait " approximatif et insuffisant " en ce qui concerne les aménagements projetés en toiture du bâtiment ECA n° 134 (pose d'une sous-couverture et de panneaux photovoltaïques); en particulier, la demande ne contiendrait selon eux " aucune information concrète et précise au sujet de l'isolation prévue, respectivement de la sous-couverture ". Par ailleurs, les recourants soutiennent que la surélévation du bâtiment entraînée par ces aménagements leur causerait des nuisances en matière de vue et d'ensoleillement; leur vue sur les prés et le Jura s'en trouverait définitivement obstruée et l'ensoleillement dont ils bénéficient serait réduit de manière inacceptable. a) Conformément à l'art. 18a al. 1 LAT, dans les zones à bâtir, le droit fédéral dispense d'autorisation de construire " les installations solaires suffisamment adaptées aux toits "; de tels projets doivent être simplement annoncés à l'autorité compétente. Cette disposition spéciale du droit fédéral l'emporte sur les art. 22 LAT, ainsi que 103 et 108 LATC (CDAP AC.2018.0384 du 19 novembre 2018 consid. 1). L'art. 32a al. 1 de l'ordonnance fédérale du 28 juin 2000 sur l'aménagement du territoire (OAT; RS 700.1) précise que le critère de l'adaptation est satisfait si les conditions suivantes sont réunies: les installations solaires considérées ne dépassent pas les pans du toit perpendiculairement de plus de 20 cm (let. a); elles ne dépassent pas du toit, vu du dessus (let. b); elles sont peu réfléchissantes selon l'état des connaissances techniques (let. c); elles forment un ensemble groupé, des exceptions pour raisons techniques ou une disposition décalée en raison de la surface disponible étant admissibles (let. d). Selon l'art. 32a al. 3 OAT, les projets dispensés d'autorisation doivent être annoncés avant le début des travaux à l'autorité délivrant les autorisations de construire ou à une autre autorité déclarée compétente pour recevoir les annonces par la législation cantonale; la législation cantonale fixe le délai dans lequel l'annonce doit être faite et précise quels plans et autres documents doivent y être joints. Dans le canton de Vaud, en application de l'art. 68a al. 3 RLATC, il y a lieu de fournir un extrait cadastral ou une copie du plan de situation à jour (let. a) et un descriptif avec photographies ou croquis (let. b). b) En l'occurrence, l'art. 18a al. 1 LAT est applicable, les biens-fonds de la constructrice et des recourants se trouvant à l'intérieur du village en zone à bâtir, et n'étant pas concernés par les exceptions toujours soumises à autorisation de construire au sens de l'art. 18a al. 3 LAT (installations solaires sur des biens culturels ou dans des sites naturels d’importance cantonale ou nationale). L'installation solaire projetée ne nécessite dès lors pas d'autorisation. La constructrice a fourni à la municipalité les documents dont la production est prévue par l'art. 68a al. 3 RLATC. Ces pièces, en particulier les plans de construction représentant l'emplacement et la surface occupée par les panneaux photovoltaïques sur le toit du bâtiment ECA n° 134, permettent de se faire une représentation concrète du projet. Il résulte de leur examen que les conditions posées par l'art. 32a al. 1 OAT pour que l'installation solaire soit considérée comme suffisamment adaptée au toit sont remplies en l'espèce. Les recourants ne soutiennent d'ailleurs pas le contraire. L'installation solaire projetée étant conforme au droit fédéral, les griefs formulés à son encontre par les recourants sont infondés. Les recourants ne prétendent par ailleurs pas que les prescriptions réglementaires en matière de hauteur des bâtiments seraient violées par la pose de la sous-couverture et des panneaux photovoltaïques. Cela étant, le moyen soulevé par les recourants doit être écarté.</w:t>
      </w:r>
    </w:p>
    <w:p>
      <w:r>
        <w:rPr>
          <w:b/>
        </w:rPr>
        <w:t>E. 7</w:t>
      </w:r>
    </w:p>
    <w:p>
      <w:r>
        <w:t>En définitive, il résulte des considérants que la décision attaquée ne viole pas le droit fédéral, ni le droit cantonal, ni encore le droit communal. Il s'ensuit que le recours doit être rejeté, ce qui entraîne la confirmation de la décision attaquée. Les recourants, qui succombent, supportent les frais de justice (art. 49 al. 1 LPA-VD; art. 4 al. 1 du tarif du 28 avril 2015 des frais judiciaires et des dépens en matière administrative [TFJDA; BLV 173.36.5.1]). Ils verseront en outre des dépens à la Commune d'Orges, laquelle a procédé par l'intermédiaire d'un avocat (art. 55 al. 1 et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