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AC.2023.0245 vom 20. Februar 2024</w:t>
      </w:r>
    </w:p>
    <w:p>
      <w:r>
        <w:t>VD Tribunal cantonal, 2024-02-20, FR</w:t>
      </w:r>
    </w:p>
    <w:p>
      <w:r>
        <w:rPr>
          <w:b/>
        </w:rPr>
        <w:t xml:space="preserve">Quelle: </w:t>
      </w:r>
      <w:r>
        <w:t>https://mcp.opencaselaw.ch/entscheid/vd_omni_AC.2023.0245</w:t>
      </w:r>
    </w:p>
    <w:p>
      <w:r>
        <w:t>FR: VD_OMNI AC.2023.0245 du 20 février 2024</w:t>
      </w:r>
    </w:p>
    <w:p>
      <w:r>
        <w:t>IT: VD_OMNI AC.2023.0245 del 20 febbraio 2024</w:t>
      </w:r>
    </w:p>
    <w:p>
      <w:pPr>
        <w:pStyle w:val="Heading2"/>
      </w:pPr>
      <w:r>
        <w:t>Regeste</w:t>
      </w:r>
    </w:p>
    <w:p>
      <w:r>
        <w:t>A.________, B.________/Municipalité d'Ormont-Dessus, Direction générale du territoire et du logement, TELE-VILLARS-GRYON-DIABLERETS SA | Les aménagements existants, qui ne sont pas concernés par la demande de permis de construire, sortent de l'objet du litige. Leur contestation doit tout au plus être considérée comme une dénonciation (c. 2). Vu les éléments au dossier, la municipalité pouvait renoncer à la pose de gabarits (c. 3). Le libellé du projet mis à l'enquête publique n'est pas trompeur et les informalités du questionnaire général ne remettent pas en cause la validité du permis de construire (c. 4). Un parking estival de 25 places permettant de réguler le stationnement proche d'une installation touristique correspond à un besoin et peut être considéré comme conforme à l'affectation de la zone touristique considérée; il en est de même du local de caisses attenant (c. 5). Situé en secteur Au de protection des eaux, le parking est conforme aux dispositions sur la protection des eaux souterraines (c. 6). Rejet du recours. Recours au TF rejeté (1C_177/2024 du 9 décembre 2024).</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vaudoise du 28 octobre 2008 sur la procédure administrative (LPA-VD; BLV 173.36). Les recourants, dont la parcelle est située à environ 50 mètres du projet et depuis laquelle il ne fait pas de doute qu'ils aperçoivent les aménagements autorisés, ont qualité pour recourir selon l'art. 75 LPA-VD (par renvoi de l'art. 99 LPA-VD). Déposé dans le délai de 30 jours fixé par l'art. 95 LPA-VD, le recours est intervenu en temps utile. Il respecte au surplus les conditions formelles énoncées à l'art. 79 LPA-VD, par renvoi de l'art. 99 LPA-VD. Il convient donc d'entrer en matière.</w:t>
      </w:r>
    </w:p>
    <w:p>
      <w:r>
        <w:rPr>
          <w:b/>
        </w:rPr>
        <w:t>E. 2</w:t>
      </w:r>
    </w:p>
    <w:p>
      <w:r>
        <w:t>Dans un premier moyen, les recourants contestent l'absence de cadastration du bâtiment de la télécabine présente sur la parcelle n o 3333, ainsi que la conformité des surfaces goudronnées autour de l'actuel local des caisses et WC.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L'art. 79 al. 2 LPA-VD, applicable au recours de droit administratif devant le Tribunal cantonal par renvoi de l'art. 99 LPA-VD, précise du reste que le recourant ne peut pas prendre des conclusions qui sortent du cadre fixé par la décision attaquée. b) En l'occurrence, la nouvelle télécabine et les aménagements existants ne sont pas concernés par la présente demande de permis de construire. La municipalité a certes évoqué certaines de ces installations dans sa décision, mais elle s'est contentée de réagir aux différents points formulés dans l'opposition et à la remarque de la DGTL dans la synthèse CAMAC. Sur le fond, la municipalité s'est contentée uniquement de statuer sur la demande de permis de construire, seule objet de la procédure. Dans ces conditions, les questions concernant les installations existantes sortent du cadre du présent litige. Au surplus, rien au dossier ou dans les pièces produites par les recourants n'indique que la télécabine et l'aménagement de ses accès n'auraient pas été dûment autorisés. Le chalet de l'Ecole suisse de ski a été enlevé à la demande de la municipalité du 23 août 2022, de sorte que cette question semble réglée. Les autres bâtiments et installations (y compris le départ de la télécabine et son tracé) sont figurés au guichet cartographique cantonal relatif à la mensuration officielle (voir fond de plan ASIT cadastre). Au final, les remarques des recourants sur ces questions relèvent de la dénonciation, qu'il appartient cas échéant à l'autorité cantonale de traiter pour autant qu'elle détienne des indices suffisants allant dans le sens d'une non-conformité, ce qui n'est pas d'emblée évident. Pour le surplus, ces aspects sortent du cadre du litige; les griefs y relatifs doivent donc être considérés comme irrecevables.</w:t>
      </w:r>
    </w:p>
    <w:p>
      <w:r>
        <w:rPr>
          <w:b/>
        </w:rPr>
        <w:t>E. 3</w:t>
      </w:r>
    </w:p>
    <w:p>
      <w:r>
        <w:t>Les recourant reprochent à la municipalité de ne pas avoir exigé la pose de gabarits. a) Aux termes de l'art. 108 al. 3 de la loi du 4 décembre 1985 sur l'aménagement du territoire et les constructions (LATC; BLV 700.11), la municipalité, le cas échéant le département, peut exiger le profilement ou des montages photographiques de la construction projetée, aux frais de la personne sollicitant le permis. La pose de gabarits a essentiellement pour but de renseigner les intéressés de façon complète sur la construction projetée. Selon la jurisprudence, l'art. 108 al. 3 LATC confère un large pouvoir d'appréciation à l'autorité compétente (arrêt TF 1P.352/2005 du 25 août 2005 consid. 2.2; cf. aussi arrêts CDAP AC.2014.0275 du 11 février 2015 consid. 2a; AC.2011.0204 du 19 janvier 2012 consid. 4; AC.2011.0010 du 3 août 2008 consid. 1). Cette disposition ne lui impose pas d'ordonner systématiquement le profilement; le principe de la proportionnalité exige que le constructeur n'y soit astreint que si cette mesure est utile pour apprécier le projet (AC.2011.0204 précité consid. 4; AC.2011.0010 précité consid. 1). L'absence de gabarits ne constitue dans ces conditions pas un vice de l'enquête publique (Bovay/Didisheim/Sulliger/Thonney, Droit fédéral et vaudois de la construction, 4 e éd., 2010, ad art. 108 LATC ch. 6). b) En l'espèce, les plans du projet (plans de situation et d'architecte) permettent sans difficulté de se rendre compte de l'impact et de l'emprise que le projet pourra avoir sur les lieux. Le parking ne constitue pas un élément en volume et ne justifie donc pas la pose de gabarits. Son positionnement dans le terrain est facilement identifiable au regard des bâtiments existants aux alentours. Quant au local d'un niveau à construire, son impact sur le site peut être déduit sans difficulté des autres bâtiments dédiés aux activités hivernales à proximité. Dans ces conditions, la municipalité n'a pas abusé de sa marge d'appréciation en considérant que les opposants étaient à même de se faire une idée suffisamment précise du projet sur la base de plans et qu'elle était elle-même en mesure de statuer sur la base du dossier, sans ordonner la pose de gabarits. Elle n'a ainsi pas fait une mauvaise application de l'art. 108 al. 3 LATC. Dès lors, ce grief doit être rejeté.</w:t>
      </w:r>
    </w:p>
    <w:p>
      <w:r>
        <w:rPr>
          <w:b/>
        </w:rPr>
        <w:t>E. 4</w:t>
      </w:r>
    </w:p>
    <w:p>
      <w:r>
        <w:t>Les recourants estiment ensuite que le libellé de l'enquête publique serait trompeur car le stationnement en cause n'aurait jamais existé. Parallèlement, ils relèvent l'incohérence du nombre de places de parc annoncées entre les plans du projet et le questionnaire général. a) D’après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du règlement du 19 septembre 1986 d'application de la LATC (RLATC; BLV 700.11) règle les pièces et indications à fournir avec la demande de permis de construire. L'art. 69 al. 1 RLATC exige notamment la production d'un plan de situation extrait du plan cadastral et portant l'indication du projet de construction, selon les cotes tirées du plan établi par l'architecte (ch. 1 let. e), la production du questionnaire général (ch. 6) et la production des plans des aménagements extérieurs avec le tracé précis du raccordement au réseau routier (ch. 8). Selon l'art. 69 al. 2 RLATC, dans tous les autres cas, la demande est accompagnée de toutes les indications nécessaires pour se rendre compte de l'importance et de la nature des travaux projetés. De façon générale, les documents d'enquête doivent être suffisamment compréhensibles pour permettre d'identifier la teneur du projet et si celui-ci est conforme aux dispositions légales et réglementaires (AC.2022.0364 du 30 août 2023 consid. 6a). b) En l'espèce, il est vrai que le questionnaire général indique, de façon étonnante, que la parcelle ne dispose d'aucune place de parc existante, qu'il en est ajouté 40 et supprimé 40 et que le total après travaux est de 40. Ce calcul est incohérent. Il n'est de plus pas conforme à ce qui est clairement représenté, aussi bien sur le plan de situation du géomètre que sur le plan d'architecte, à savoir l'aménagement d'un nombre de 25 places de parc. A la lecture de tous les documents d'enquête, même si les indications figurant dans le questionnaire général sont regrettables car manifestement incohérentes, il ne fait toutefois pas de doute que la décision attaquée ne porte que sur l'aménagement de 25 places de stationnement, les plans étant incontestables à ce propos et la municipalité ayant confirmé ce point à deux reprises, dans sa décision de levée de l'opposition et dans sa réponse au recours. S'agissant de la description de l'ouvrage dans le questionnaire général, qui parle d' "amélioration du stationnement existant" , on ne perçoit pas en quoi il serait trompeur. Le projet a en effet pour but d'améliorer le parcage existant des voitures qui, selon la constructrice, se fait actuellement au bord de la route du Col de la Croix (voir aussi dans ce sens la pièce 18 produite par les recourants). Il n'est donc pas question ici de la régularisation d'un parking existant sur la parcelle en cause, mais bien d'une amélioration du système de stationnement, ce qui correspond au libellé des travaux. Au final, les documents d'enquête sont suffisamment compréhensibles pour permettre d'identifier la réelle teneur du projet et ne remettent pas en cause la validité de la décision entreprise. Ce grief doit donc être écarté.</w:t>
      </w:r>
    </w:p>
    <w:p>
      <w:r>
        <w:rPr>
          <w:b/>
        </w:rPr>
        <w:t>E. 5</w:t>
      </w:r>
    </w:p>
    <w:p>
      <w:r>
        <w:t>Au croisement des pistes Jorasse et Nationale (coordonnées approximatives 2'577'175/1'132'625) la construction d'un tunnel pour le passage des skieurs de 70 m de long environ ainsi que les aménagements de terrain y relatifs sont spécifiquement autorisés.</w:t>
      </w:r>
    </w:p>
    <w:p>
      <w:r>
        <w:rPr>
          <w:b/>
        </w:rPr>
        <w:t>E. 6</w:t>
      </w:r>
    </w:p>
    <w:p>
      <w:r>
        <w:t>Les recourants font valoir que la parcelle n° 3333 se trouve dans une zone inondable et marécageuse et s'élèvent contre le fait qu'on y autorise un parking estival. a) Conformément à l'art. 19 de la loi fédérale du 24 janvier 1991 sur la protection des eaux (LEaux; RS 814.20), les cantons subdivisent leur territoire en secteurs de protection en fonction des risques auxquels sont exposées les eaux superficielles et les eaux souterraines. Le Conseil fédéral édicte les prescriptions nécessaires (al. 1). La construction et la transformation de bâtiments et d'installations, ainsi que les fouilles, les terrassements et autres travaux analogues dans les secteurs particulièrement menacés sont soumis à autorisation cantonale s'ils peuvent mettre en danger les eaux (al. 2). L'art. 29 de l'ordonnance fédérale du 28 octobre 1998 sur la protection des eaux (OEaux; RS 814.201) précise que le secteur A u de protection des eaux est destiné à protéger les eaux souterraines exploitables. L'annexe 4 OEaux énonce que les secteurs A u comprennent les eaux souterraines exploitables ainsi que des zones attenantes nécessaires à assurer leur protection. b) Dans le cas présent, la DGE/DIRNA/EAU/HG s'est prononcée dans le cadre de la synthèse CAMAC et a délivré son autorisation spéciale. Cette autorité retient notamment que le projet se situe en secteur A u de protection des eaux. Se référant à l'annexe 4 OEaux, elle rappelle que, dans un tel secteur, il est interdit de mettre en place des installations au-dessous du niveau piézométrique de la nappe et que seules des eaux pluviales non altérées peuvent être infiltrées sans prétraitement. Constatant que le projet litigieux ne nécessitait pas d'excavations importantes, cette autorité a subordonné son autorisation spéciale à plusieurs conditions. Le permis de construire litigieux intègre expressément ces conditions dont il exige le respect impératif. Le Tribunal ne voit pas de raisons de s'écarter de l'appréciation de l'autorité cantonale spécialisée dans le cas présent. Les recourants ne motivent au demeurant pas en quoi les conditions posées par cette autorité et reprises dans le permis de construire ne seraient pas suffisantes pour assurer une protection adéquate des eaux souterraines. Ce grief est en conséquence rejeté.</w:t>
      </w:r>
    </w:p>
    <w:p>
      <w:r>
        <w:rPr>
          <w:b/>
        </w:rPr>
        <w:t>E. 6.2</w:t>
      </w:r>
    </w:p>
    <w:p>
      <w:r>
        <w:t>(dès mars 2019, la norme VSS 40 281), citées par les recourants. En termes d'intégration, le parking prendra place sur le plateau des Diablerets, en aval du village, dans une zone qui n'est pas dépourvue de constructions, même si elles y sont assez éparses. Il sera inséré entre la route et plusieurs installations (télécabine et cabanes dédiées) d'ores et déjà consacrées au tourisme. Pour ces raisons, on ne peut considérer qu'il s'inscrit dans un secteur préservé tel que le prétendent les recourants. Au contraire, il prend place sur une parcelle sur laquelle les autorités ont fait le choix d'insérer une infrastructure touristique majeure à l'échelle de la commune puisqu'il s'agit d'un des départs principaux pour accéder aux activités touristiques de montagne. Le parking ne demandera que des mouvements de terres limités et son revêtement demeurera perméable. Il libérera les abords de la route des véhicules qui y stationnent actuellement de manière "sauvage", limitant l'impact paysager de ce point de vue et favorisant la sécurité routière. Tout bien considéré, si le parking litigieux aura inévitablement un certain impact sur le paysage, celui-ci sera toutefois limité et contrebalancé par l'intérêt touristique indéniable à sa situation à proximité de la télécabine Diablerets Express. C'est encore le lieu de préciser que, si le village de Vers l'Eglise fait l'objet d'une inscription à l'ISOS (inventaire fédéral des sites construits d'importance nationale à protéger en Suisse), tel n'est pas le cas de la localité des Diablerets et du secteur ici concerné. Les recourants considèrent que cet aménagement contredit les plans directeurs, cantonal et communal. Les plans directeurs constituent de simples plans d'intention servant de référence et d'instrument de travail pour les autorités cantonales et communales qui n'ont pas force obligatoire. Seul le plan d'affectation a un caractère contraignant pour les particuliers (art. 21 al. 1 LAT; arrêt TF 1C_289/2007 du 27 décembre 2007 consid. 5.2; AC.2017.0030 du 13 décembre 2017 consid. 3d; AC.2011.0270 du 31 mai 2012 consid. 3). Seul importe donc strictement que le projet soit conforme à l'affectation de la zone et s'avère justifié par un besoin avéré, ce qui est le cas en l'espèce. Quant à la détermination des conditions d'utilisation du parking, elles n'ont pas d'incidence sur la validité de la décision attaquée. On peut relever que les horaires d'exploitation de la télécabine devraient spontanément limiter aux mêmes tranches horaires le stationnement sur le parking litigieux. La constructrice a déclaré qu'elle restreindrait l'utilisation du parking au stationnement estival, ce dont la municipalité a pris acte et qu'elle a confirmé dans sa réponse au recours. Il n'y a pas de raison de mettre en doute cette affirmation, étant précisé que l'autorité municipale sera au besoin en mesure de la mettre en œuvre sur la base des dispositions contenues dans son règlement communal de police. Les recourants écrivent encore que les art. 40a et 40b RLATC ne seraient pas appliqués. A défaut d'explications plus précises des recourants à ce sujet, auxquels il appartient d'indiquer au moins brièvement les motifs de leur recours, à savoir en quoi une disposition légale ne serait pas respectée (art. 79 al. 1 LPA-VD par renvoi de l'art. 99 LPA-VD), et au vu des développements qui précèdent, on ne voit pas d'emblée en quoi le projet contreviendrait à ces dispositions. e) S'agissant du local de caisses, le Diablerets Express se situant à proximité immédiate de son lieu d'implantation prévu, sa construction à l'endroit projeté paraît pleinement justifiée. La municipalité a par ailleurs exposé que la gestion des flux des personnes en haute saison ou en période de pandémie pour permettre l'exploitation du domaine skiable avait démontré la nécessité de nouveaux locaux adaptés tant pour les clients que pour le personnel d'exploitation. L'ancien local des caisses sera réaffecté en vestiaire pour le personnel tel que requis par la SUVA, comme le précise la municipalité dans sa réponse, de sorte que le projet est également cohérent de ce point de vue et répond à un besoin. Quant à la distance de cette construction par rapport à l'axe de la route, elle est conforme à la règlementation. La cabane litigieuse est en effet implantée à l'extérieur de la limite de constructions de 7 mètres par rapport à l'axe de la chaussée fixée par l'art. 36 al. 1 let. c et al. 2 de la loi cantonale du 10 décembre 1991 sur les routes (LRou; BLV 725.01). f) Au final, dans la mesure où, comme on le verra ci-dessous (consid. 6), les dispositions sur la protection des eaux ne s'opposent pas à l'aménagement d'une aire de stationnement à l'endroit concerné, le parking et le local de caisses peuvent être considérés comme conformes à l'affectation de la zone. Le grief y relatif doit donc être écarté.</w:t>
      </w:r>
    </w:p>
    <w:p>
      <w:r>
        <w:rPr>
          <w:b/>
        </w:rPr>
        <w:t>E. 7</w:t>
      </w:r>
    </w:p>
    <w:p>
      <w:r>
        <w:t>Il résulte des considérants qui précèdent que le recours doit être rejeté dans la mesure de sa recevabilité et la décision attaquée confirmée. Succombant, les recourants supporteront l'émolument de justice (art. 49 LPA-VD; art. 4 du tarif du 28 avril 2015 des frais judiciaires et des dépens en matière administrative: TFJDA; BLV 173.36.5.1) ainsi que des indemnités à titre de dépens en faveur de la Commune d'Ormont-Dessus, qui a procédé avec l'assistance d'un mandataire professionnel (art. 55 LPA-VD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