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AC.2023.0244 vom 14. März 2024</w:t>
      </w:r>
    </w:p>
    <w:p>
      <w:r>
        <w:t>VD Tribunal cantonal, 2024-03-14, FR</w:t>
      </w:r>
    </w:p>
    <w:p>
      <w:r>
        <w:rPr>
          <w:b/>
        </w:rPr>
        <w:t xml:space="preserve">Quelle: </w:t>
      </w:r>
      <w:r>
        <w:t>https://mcp.opencaselaw.ch/entscheid/vd_omni_AC.2023.0244</w:t>
      </w:r>
    </w:p>
    <w:p>
      <w:r>
        <w:t>FR: VD_OMNI AC.2023.0244 du 14 mars 2024</w:t>
      </w:r>
    </w:p>
    <w:p>
      <w:r>
        <w:t>IT: VD_OMNI AC.2023.0244 del 14 marzo 2024</w:t>
      </w:r>
    </w:p>
    <w:p>
      <w:pPr>
        <w:pStyle w:val="Heading2"/>
      </w:pPr>
      <w:r>
        <w:t>Regeste</w:t>
      </w:r>
    </w:p>
    <w:p>
      <w:r>
        <w:t>A.________, B.________/Municipalité d'Epalinges, C.________ | Doit être considérée comme une construction nécessitant la délivrance d'un permis une piste de pétanque recouverte de gravier et de sable, bordée sur quatre côtés de poutres en bois et à son extrémité d'un petit muret, dont l'aménagement a nécessité le recours à un engin de chantier et à des mouvements de terre. La municipalité aurait dû ordonner le démontage et l'évacuation de cette installation contraire à la réglementation de la zone, vu les nuisances sonores qu'un tel aménagement, situé à environ 10 m de la limite de propriété et complétant une place de jeux existante, est de nature à générer pour les voisins. Admission partielle du recours des voisins sur ce point et réforme de la décision entreprise en ce sens que la démolition de la piste de pétanque est ordonnée. En revanche, une plateforme avec toboggan, reliquat d'une installation beaucoup plus importante que le propriétaire a partiellement démontée, installée à 2 m de hauteur dans un arbre et accessible au moyen d'un tronc dans lequel des marches ont été creusées, constitue une installation de minime importance qui pouvait être dispensée d'autorisation. L'autorité intimée pouvait en effet exclure qu'elle porte atteinte aux intérêts dignes de protection des voisins. Le recours tendant à son démontage est dans cette mesure rejeté. Recours au TF rejeté, dans la mesure de sa recevabilité, par arrêt du 23 octobre 2025 (1C_249/2024).</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compte tenu des féries (art. 96 al. 1 let. b LPA-VD). Il respecte au surplus les conditions formelles énoncées à l’art. 79 LPA-VD applicable par renvoi de l’art. 99 LPA-VD. Les recourants, voisins directs dont une demande de remise en état a été refusée, disposent en outre de la qualité pour recourir (art. 75 al. 1 let. a LPA-VD). Il convient d’entrer en matière sur le fond.</w:t>
      </w:r>
    </w:p>
    <w:p>
      <w:r>
        <w:rPr>
          <w:b/>
        </w:rPr>
        <w:t>E. 2</w:t>
      </w:r>
    </w:p>
    <w:p>
      <w:r>
        <w:t>La décision attaquée refuse d’ordonner la suppression d’un terrain de pétanque et d’une plateforme aménagée dans les arbres se trouvant sur la parcelle n° 628. La première question à résoudre est celle de savoir si les aménagements litigieux auraient dû faire l’objet d’une autorisation, comme les recourants le soutiennent. a) Selon l'art. 22 al. 1 de la loi fédérale du 22 juin 1979 sur l’aménagement du territoire (LAT; RS 700), aucune construction ou installation ne peut être créée ou transformée sans autorisation de l’autorité compétente. Si la notion de construction ou d’installation n’est pas définie dans la loi, elle fait l’objet de nombreuses précisions jurisprudentielles. Sont ainsi considérés comme des constructions ou installations au sens de l'art. 22 al. 1 LAT tous les aménagements durables et fixes créés par la main de l'homme, exerçant une incidence sur l'affectation du sol parce qu'ils modifient sensiblement l'espace extérieur, chargent l'infrastructure d'équipement ou sont susceptibles de porter atteinte à l'environnement (ATF 139 II 134 consid. 5.2; 113 Ib 314 consid. 2b; arrêt TF 1C_79/2022 du 30 septembre 2022 consid. 5.1). La procédure d'autorisation doit permettre à l'autorité de contrôler, avant la réalisation du projet, sa conformité aux plans d'affectation et aux réglementations applicables (ATF 139 II 134 consid. 5.2; 123 II 256 consid. 3). Pour déterminer si l'aménagement prévu est soumis à cette procédure, il faut évaluer si, en général, d'après le cours ordinaire des choses, il entraînera des conséquences telles qu'il existe un intérêt de la collectivité ou des voisins à un contrôle préalable (ATF 139 II 134 consid. 5.2; 123 II 256 consid. 3; arrêt 1C_79/2022 précité consid. 5.1.2 ; arrêt TF 1C_618/2014 du 29 juillet 2015 consid. 3.1 et les références). L’art. 22 LAT est directement applicable, de sorte que les cantons ne sauraient exclure du régime de l’autorisation les constructions ou installations pour lesquelles l’art. 22 LAT impose une telle procédure de permis; ils sont toutefois libres d’aller au-delà du standard minimum fixé par cette disposition fédérale et soumettre à l’obligation du permis de construire d’autres travaux que ceux visés par l’art. 22 LAT (arrêt CDAP AC.2011.0226 du 6 février 2012 consid. 2a et la réf. citée). b) L'art. 103 al. 1 de la loi vaudoise du</w:t>
      </w:r>
    </w:p>
    <w:p>
      <w:r>
        <w:rPr>
          <w:b/>
        </w:rPr>
        <w:t>E. 4</w:t>
      </w:r>
    </w:p>
    <w:p>
      <w:r>
        <w:t>Les considérants qui précèdent conduisent à l’admission partielle du recours et à la réforme de la décision entreprise en ce sens que la suppression du terrain de pétanque sis sur la parcelle n° 628 est ordonnée, ainsi que la remise en herbe du terrain, dans un délai de 60 jours à partir de la date à laquelle le présent arrêt sera devenu définitif. La décision attaquée est confirmée pour le surplus. Les frais seront supportés principalement par le constructeur, qui succombe sur le point essentiel du litige (la piste de pétanque) et par les recourants pour le reste (art. 49 al. 1 et 51 al. 1 LPA-VD). Les recourants, qui obtiennent partiellement gain de cause, ont droit à une indemnité réduite et partiellement compensée à titre de dépens pour la participation aux honoraires de leur conseil (art. 55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