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AC.2023.0231 vom 5. Januar 2024</w:t>
      </w:r>
    </w:p>
    <w:p>
      <w:r>
        <w:t>VD Tribunal cantonal, 2024-01-05, FR</w:t>
      </w:r>
    </w:p>
    <w:p>
      <w:r>
        <w:rPr>
          <w:b/>
        </w:rPr>
        <w:t xml:space="preserve">Quelle: </w:t>
      </w:r>
      <w:r>
        <w:t>https://mcp.opencaselaw.ch/entscheid/vd_omni_AC.2023.0231</w:t>
      </w:r>
    </w:p>
    <w:p>
      <w:r>
        <w:t>FR: VD_OMNI AC.2023.0231 du 5 janvier 2024</w:t>
      </w:r>
    </w:p>
    <w:p>
      <w:r>
        <w:t>IT: VD_OMNI AC.2023.0231 del 5 gennaio 2024</w:t>
      </w:r>
    </w:p>
    <w:p>
      <w:pPr>
        <w:pStyle w:val="Heading2"/>
      </w:pPr>
      <w:r>
        <w:t>Regeste</w:t>
      </w:r>
    </w:p>
    <w:p>
      <w:r>
        <w:t>A.________, B.________/Direction générale du territoire et du logement, Municipalité de Champvent | Ordre de remise en état d'un chalet hors zone qui a fait l'objet d'agrandissements hors volume et de la surface brute de planchers utile (oriel à l'étage et salle de bains créée dans des surfaces annexes) lors de travaux ayant dépassé ceux qui avaient été autorisés par permis de construire. Le potentiel d'agrandissement était déjà épuisé avant la délivrance du permis de construire (consid. 2-3). Application du principe de la proportionnalité conduisant à tolérer l'oriel et à tolérer, jusqu'au prochain transfert de propriété à un tiers, la création de la salle de bain, avec mention au Registre foncier (consid. 4). Recours partiellement admis.</w:t>
      </w:r>
    </w:p>
    <w:p>
      <w:pPr>
        <w:pStyle w:val="Heading2"/>
      </w:pPr>
      <w:r>
        <w:t>Erwägungen</w:t>
      </w:r>
    </w:p>
    <w:p>
      <w:r>
        <w:rPr>
          <w:b/>
        </w:rPr>
        <w:t>E. 1</w:t>
      </w:r>
    </w:p>
    <w:p>
      <w:r>
        <w:t>L'acte de recours doit être signé, ou, si l'autorité de recours permet le dépôt de recours par voie électronique, respecter les canaux et formats de communication qu'elle admet, parmi ceux reconnus au sens de l'article 27a. L'acte de recours doit indiquer les motifs et les conclusions du recours. La décision est jointe au recours."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Dans le cas présent, l'acte de recours est certes bref, mais il mentionne clairement que les recourants, qui ne sont pas assistés, contestent la décision rendue le 15 juin 2023 par la DGTL, et plus particulièrement l'ordre de remise en état de la salle de bain ainsi que du sas d'entrée, à savoir les chiffres 7 et 8 du dispositif de la décision litigieuse. Ces deux points sont au demeurant les seuls faisant l'objet de l'ordre de remise en état proprement dit, les autres travaux ayant été soit régularisés (ch. 1 à 4 du dispositif), soit tolérés (ch. 5 et 6 du dispositif). Quant aux conclusions, si elles sont certes implicites, elles découlent de manière claire de ce qui précède: il ne fait aucun doute que les recourants concluent à la réforme des ch. 7 et 8 en ce sens que ces installations sont régularisées, subsidiairement tolérées. Il y a partant lieu d'entrer en matière.</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Les considérants qui précèdent conduisent à l'admission partielle du recours, la décision attaquée étant réformée dans le sens des considérants. L'arrêt est rendu sans frais ni dépens (art. 50, 51,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