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AC.2023.0181 vom 15. April 2024</w:t>
      </w:r>
    </w:p>
    <w:p>
      <w:r>
        <w:t>VD Tribunal cantonal, 2024-04-15, FR</w:t>
      </w:r>
    </w:p>
    <w:p>
      <w:r>
        <w:rPr>
          <w:b/>
        </w:rPr>
        <w:t xml:space="preserve">Quelle: </w:t>
      </w:r>
      <w:r>
        <w:t>https://mcp.opencaselaw.ch/entscheid/vd_omni_AC.2023.0181</w:t>
      </w:r>
    </w:p>
    <w:p>
      <w:r>
        <w:t>FR: VD_OMNI AC.2023.0181 du 15 avril 2024</w:t>
      </w:r>
    </w:p>
    <w:p>
      <w:r>
        <w:t>IT: VD_OMNI AC.2023.0181 del 15 aprile 2024</w:t>
      </w:r>
    </w:p>
    <w:p>
      <w:pPr>
        <w:pStyle w:val="Heading2"/>
      </w:pPr>
      <w:r>
        <w:t>Regeste</w:t>
      </w:r>
    </w:p>
    <w:p>
      <w:r>
        <w:t>A.________,B.________ et C.________ /Municipalité d'Yverdon-les-Bains, D.________ et E.________ | Rejet du recours dirigé contre les décisions municipales délivrant deux permis de construire distincts, l'un portant sur la construction d'un nouveau logement (en remplacement de l'attique), l'autre sur la construction d'un petit appartement à l'arrière du bâtiment. Pas de violation de l'ordonnance concernant la surface nette, ni de la réglementation communale sur la police des constructions (logement sur cour, espace de rangement, surélévation et nombre de niveaux, etc.). Les projets de construction prennent place dans un ensemble bâti d'architecture hétéroclite (front de Clendy), dont ils ne dénaturent pas les caractéristiques; rejet des griefs liés à l'esthétique et à l'ISOS.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En l'occurrence, les recourants ont contesté par un seul acte de recours deux décisions distinctes rendues par la municipalité le même jour – soit le 2 mai 2023 – portant sur des projets indépendants même s'ils concernent la même parcelle, ce dont il sera tenu compte s'agissant des dépens.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Il y a donc lieu d'entrer en matière sur le fond.</w:t>
      </w:r>
    </w:p>
    <w:p>
      <w:r>
        <w:rPr>
          <w:b/>
        </w:rPr>
        <w:t>E. 2</w:t>
      </w:r>
    </w:p>
    <w:p>
      <w:r>
        <w:t>au minimum de locaux de rangement situés soit dans les caves ou galetas, soit dans des pièces non éclairées à l'intérieur du logement." Quoi qu'en pensent les recourants, le projet litigieux prévoit bien un espace de rangement, qu'il est prévu d'aménager dans le vide sanitaire du sas d'entrée, accessible par une trappe. La municipalité considère que ce local de rangement est conforme à la réglementation communale, et on ne voit pas en quoi cette appréciation contreviendrait au droit communal ou au droit supérieur. Il s'ensuit le rejet de ce grief, mal fondé. e) Vu ce qui précède, il apparaît en définitive que le projet CAMAC n o 216965 est conforme aux règles communales sur la police des constructions.</w:t>
      </w:r>
    </w:p>
    <w:p>
      <w:r>
        <w:rPr>
          <w:b/>
        </w:rPr>
        <w:t>E. 3</w:t>
      </w:r>
    </w:p>
    <w:p>
      <w:r>
        <w:t>Les règlements communaux doivent contenir des dispositions en vue d'éviter l'enlaidissement des localités et de leurs abords." La réglementation communale pose les principes suivants en matière d'esthétique et d'intégration des constructions: " Article 3 – La qualité est prioritaire 1. Les dispositions qualitatives du plan général d'affectation priment les dispositions quantitatives. 2. Les dispositions qualitatives ont trait à : - l'intégration de l'objet construit dans le site naturel ou bâti ; - la recherche d'une architecturede valeur ; [...] Article 4 – Structure urbanistique et formation globale du site [...] 2. Toute intervention prend en considération la structure urbanistique, existante ou en devenir" b) Selon la jurisprudence, l'application de la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Il faut que l'utilisation des possibilités de construire réglementaires apparaisse déraisonnable (ATF 115 Ia 114 consid. 3d; TF 1C_360/2018 du 9 mai 2019 consid. 4.1.2; CDAP AC.2019.0267 consid. 5a du 20 octobre 2020). Tel sera par exemple le cas s'il s'agit de protéger un site, un bâtiment ou un ensemble de bâtiments présentant des qualités esthétiques remarquables, qui font défaut à l'immeuble projeté ou que mettrait en péril sa construction (ATF 101 Ia 213 consid. 6c; TF 1C_360/2018 précité consid. 4.1.2).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1C_450/2008 du 19 mars 2009 consid. 2.4). c) En l'occurrence, le projet CAMAC n o 216965 consiste essentiellement en la construction d'un petit appartement de type duplex à l'arrière de la parcelle n o 1779, sur le chemin de Clendy Dessous. Ce chemin est bordé au sud par les bâtiments du front bâti de Clendy qui ne présentent, à l'arrière, ni cohérence architecturale, ni homogénéité: sur place, la CDAP a relevé que les constructions se succédaient les unes aux autres, tantôt au droit du chemin, tantôt en retrait, avec des jardins et des couverts à voiture de tailles et de configurations diverses. D'ailleurs, s'il mentionne l'existence de " jardins et petites constructions à l'arrière du front bâti ", l'inventaire ISOS fait également état du caractère disparate de l'ensemble compte tenu des modifications apportées au cours du temps. L'actuel bâtiment dont la démolition est prévue ne présente d'ailleurs lui non plus aucune qualité architecturale particulière. Dans cet environnement, on ne voit pas en quoi le bâtiment projeté, aux dimensions très réduites, porterait une atteinte au site construit. Il est à l'évidence parfaitement compatible avec le caractère des constructions alentour. Enfin, la propriété classée en note 2 située à l'extrêmité nord de la rue de Clendy est trop éloignée du site pour être impactée par la nouvelle construction. Autrement dit, l'ajout du bâtiment ne modifie pas la situation actuelle si bien que, tant du point de vue de l'intégration que des objectifs de sauvegarde de l'ISOS, il est tout à fait admissible.</w:t>
      </w:r>
    </w:p>
    <w:p>
      <w:r>
        <w:rPr>
          <w:b/>
        </w:rPr>
        <w:t>E. 4</w:t>
      </w:r>
    </w:p>
    <w:p>
      <w:r>
        <w:t>Toujours en lien avec le projet CAMAC n o 21695, les recourants font valoir que les travaux litigieux portent atteinte à leur droit de propriété. En statuant sur la demande de permis de construire, l'autorité doit s'assurer que les règles du droit public des constructions sont respectées. Le permis de construire est une autorisation à laquelle le requérant a droit s'il satisfait aux conditions formelles et matérielles posées par le droit public (ATF 119 Ib 222 consid. 3a; TF 1A.202/2006 du 10 septembre 2007 consid. 4; CDAP AC.2022.0129 du 10 février 2023 consid. 2a/aa). Il n'incombe pas à la municipalité de vérifier si, au surplus, le projet qui lui est soumis respecte les éventuels droits de nature civile des recourants. Manifestement mal fondé, ce grief est rejeté. Il résulte des considérants qui précèdent que le recours doit être rejeté dans la mesure où il tend à remettre en cause le permis de construire octroyé par la municipalité pour la construction d'un nouveau bâtiment d'habitation et la démolition du bâtiment ECA n o 4769.</w:t>
      </w:r>
    </w:p>
    <w:p>
      <w:r>
        <w:rPr>
          <w:b/>
        </w:rPr>
        <w:t>E. 5</w:t>
      </w:r>
    </w:p>
    <w:p>
      <w:r>
        <w:t>Il convient dans un deuxième temps d'examiner les griefs des recourants dans la mesure où ils sont dirigés contre le permis de construire pour la démolition et la transformation de la toiture et l'aménagement d'un nouveau logement dans le bâtiment ECA n o 829 (CAMAC n o 216966). Les recourants invoquent également une violation de la règlementation communale. a) Les recourants se plaignent d'abord de la violation de l'art. 25 RPGA, disposition libellée comme il suit: " Article 25 – Surélévations 1 Les surélévations d'un étage sont autorisées, toutefois le nombre total de niveaux sous la corniche ne dépassera pas trois. Dans les secteurs mentionnés sur le plan par un liseré orange, il ne dépassera pas quatre. 2 Si sa hauteur d'étage est de plus de 3,60 m ce niveau est compté double." Les recourants prétendent que la constructrice prévoit de surélever le bâtiment ECA n o 829, de sorte que ce dernier, qui compte actuellement trois niveaux sous la corniche, en compterait désormais quatre. Ils ne peuvent être suivis. Lors de l'inspection locale, la CDAP a pu constater que le bâtiment n o 829 comportait déjà quatre étages – soit trois niveaux (rez-de-chaussée compris) sous la corniche, surmontés d'un attique disposé en retrait du reste de la façade et pourvu d'une terrasse. Selon les plans d'enquête, l'attique doit être démoli et remplacé par un nouveau logement sur l'étage inférieur . Contrairement à ce qu'affirment les recourants, les travaux litigieux n'entraînent ainsi pas la création d'un étage supplémentaire. b) Les recourants se plaignent ensuite de la violation de l'art. 26 al. 3 RPGA, considérant que la transformation de façade rompt l'équilibre du front bâti de la rue de Clendy. L'art. 26 RPGA a la teneur suivante: " Article 26 – Façades 1 Les transformations conformes au style du bâtiment sont autorisées. 2 Sur les façades côté rue, les balcons, oriels, bow-windows, etc. sont interdits. 3 Toute transformation de façade doit également s'harmoniser avec les façades des bâtiments voisins." Les bâtiments voisins contigus sis rue de Clendy 19 (parcelle n o 1781) et 21 (parcelle n o 1780) sont des maisons de deux niveaux sous la corniche, plus basses que les autres immeubles du front bâti. Cela étant, lors de l'inspection locale, la CDAP a relevé que la hauteur et la façade des différents bâtiments qui composent l'ensemble de la rangée varie sensiblement. Les bâtiments sis rue de Clendy 13 et 17 (parcelle n o 1782), contigus à l'ouest aux maisons précitées, constituent un imposant immeuble d'habitation d'apparence moderne, de trois niveaux sous la corniche (rez-de-chaussée compris), surmontés de combles. De même, le bâtiment sis rue de Clendy 25 (parcelle n o 1778) est un hôtel-restaurant récemment rénové avec trois niveaux sous la corniche, pourvu de lucarnes en toiture si volumineuses qu'elles ont l'apparence d'un étage supplémentaire. En définitive, le projet litigieux, qui prend place entre ces différentes constructions de taille et d'architecture hétéroclite, ne tranche pas avec les caractéristiques d'un front bâti dont il s'agirait de préserver l'unité harmonieuse. Le grief des recourants doit être écarté. c) Les recourants se prévalent encore de la violation de l'art. 107 RPGA, disposition qui prévoit ce qui suit: " Article 107 – La nature des rues 1 L'identité spécifique des rues, déterminante pour l'image de la ville et ses qualités urbaines, doit être respectée tant par les aménagements routiers que par le traitement des espaces publics ou privés. 2 Une conception globale guide ces interventions." Ce grief est manifestement mal fondé. Contrairement à ce qu'affirment les recourants, la rue de Clendy se caractérise par un front bâti hétéroclite, composé, comme on l'a vu, de bâtiments dont la façade et la hauteur varient considérablement. La fiche ISOS retient du reste, s'agissant du secteur en cause, que "[l] es multiples transformations qui y ont été apportées et les couleurs discordantes qui peuvent y être observées rendent cet ensemble assez disparate ". On ne voit pas en quoi le projet litigieux porterait atteinte à l'identité de la rue de Clendy. d) Les recourants estiment enfin que le projet rompt la continuité de l'avant-toit, ce qui contrevient à l'art. 28 al. 3 RPGA. Cette norme communale a la teneur suivante: " Article 28 – Toitures [...] 3 En cas d'ouvertures, la continuité de l'avant-toit est maintenue." Lors de l'inspection locale, la CDAP a constaté que le bâtiment contigu à l'ouest (la maison de deux niveaux sous la corniche sise à la rue de Clendy 21 sur la parcelle n o 1780) est de taille sensiblement plus basse que le bâtiment ECA n o 829: on ne voit pas comment la continuité de l'avant-toit aurait pu être maintenue entre les deux immeubles. Elle est du reste actuellement interrompue. Les recourants, qui se bornent à relever cette irrégularité, n'exposent toutefois pas en quoi l'octroi d'une dérogation (prévue à l'art. 31 RPGA) n'entrerait pas en ligne de compte. Dans sa réponse, la municipalité a expliqué que les travaux litigieux apportaient, de son point de vue, une amélioration importante de l'aspect du bâtiment, ramenant le niveau supérieur à la hauteur du front de la façade sud, ce qui favorise l'intégration de la construction dans la rue de Clendy. Au cours de l'inspection locale, les représentantes de la municipalité ont encore exposé que la réalisation du projet permettrait l'aménagement, pour le bâtiment ECA n o 829, d'un toit à pans qui renforcerait l'harmonie et l'unité architecturale de la rue de Clendy. Dans ces conditions, il y a lieu d'admettre que l'autorité intimée n'a pas violé le droit communal en autorisant le projet, nonobstant la rupture de la continuité de l'avant-toit.</w:t>
      </w:r>
    </w:p>
    <w:p>
      <w:r>
        <w:rPr>
          <w:b/>
        </w:rPr>
        <w:t>E. 6</w:t>
      </w:r>
    </w:p>
    <w:p>
      <w:r>
        <w:t>Les recourants invoquent également s'agissant de ce projet une violation de la clause d'esthétique ainsi qu'une atteinte à l'ISOS. La surélévation du bâtiment et la construction d'un niveau supplémentaire ne s'intégreraient pas dans l'environnement bâti. La réalisation du projet entraînerait une cassure du front bâti de la rue de Clendy dont la structure, la disposition et l'aspect devraient être sauvegardés. L'aménagement en toiture d'une terrasse et l'aménagement des combles avec lucarnes ne correspondraient pas à l'environnement bâti. En application des principes juridiques rappelés en lien avec l'autre projet faisant l'objet du présent recours (cf. supra consid. 3), on ne voit pas en quoi ces travaux romperaient l'équilibre du site ou dénatureraient le front bâti de Clendy. Le caractère hétéroclite des bâtiments construits en ordre contigu est établi. Ceux-ci présentent des toitures, des façades, des lucarnes, des fenêtres et des entrées très différentes. Ces caractéristiques ressortent d'ailleurs expressément de la fiche ISOS. Les travaux qu'il s'agit d'exécuter sur la parcelle n o 1779, au demeurant passablement discrets, n'altèrent d'aucune manière l'environnement bâti existant. Au contraire, on peut admettre, avec la municipalité, que le projet litigieux, qui prévoit la création d'un toit à deux pans en place de l'actuel attique en retrait, favorise même l'intégration du bâtiment ECA n o 829, en renforçant l'unité architecturale de la rue. Vu ce qui précède, le droit fédéral n'empêche pas l'atteinte insignifiante au site construit d'Yverdon-les-Bains; de même, la municipalité n'a pas commis d'abus de son pouvoir d'appréciation en renonçant à appliquer la clause d'esthétique, les travaux litigieux n'étant pas susceptibles de nuire aux caractéristiques du site.</w:t>
      </w:r>
    </w:p>
    <w:p>
      <w:r>
        <w:rPr>
          <w:b/>
        </w:rPr>
        <w:t>E. 7</w:t>
      </w:r>
    </w:p>
    <w:p>
      <w:r>
        <w:t>Les considérants qui précèdent conduisent au rejet du recours, mal fondé, et à la confirmation de la décision attaquée. Un émolument judiciaire est mis à la charge des recourants, qui succombent (art. 49 LPA-VD). Ceux-ci supporteront également une indemnité de dépens en faveur de la constructrice, qui a procédé avec l'aide d'un avocat (art. 55 LPA-VD). Il sera tenu compte dans la fixation de cette indemnité du fait que le recours était dirigé contre deux décisions indépendantes portant sur des projets de construction distincts.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