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AC.2023.0140 vom 14. Dezember 2023</w:t>
      </w:r>
    </w:p>
    <w:p>
      <w:r>
        <w:t>VD Tribunal cantonal, 2023-12-14, FR</w:t>
      </w:r>
    </w:p>
    <w:p>
      <w:r>
        <w:rPr>
          <w:b/>
        </w:rPr>
        <w:t xml:space="preserve">Quelle: </w:t>
      </w:r>
      <w:r>
        <w:t>https://mcp.opencaselaw.ch/entscheid/vd_omni_AC.2023.0140</w:t>
      </w:r>
    </w:p>
    <w:p>
      <w:r>
        <w:t>FR: VD_OMNI AC.2023.0140 du 14 décembre 2023</w:t>
      </w:r>
    </w:p>
    <w:p>
      <w:r>
        <w:t>IT: VD_OMNI AC.2023.0140 del 14 dicembre 2023</w:t>
      </w:r>
    </w:p>
    <w:p>
      <w:pPr>
        <w:pStyle w:val="Heading2"/>
      </w:pPr>
      <w:r>
        <w:t>Regeste</w:t>
      </w:r>
    </w:p>
    <w:p>
      <w:r>
        <w:t>A.________, B.________/Municipalité du Mont-sur-Lausanne | L'annulation d'une promesse de vente d'entente entre le promettant-acheteur et le promettant-vendeur avant l'exercice de son droit de préemption par une commune entraîne la suppression d'un (éventuel) cas de préemption. Pas d'abus de droit des cocontractants. Recours au TF rejeté dans la mesure de sa recevabilité (arrêt 1C_56/2024 du 17 janvier 2025).</w:t>
      </w:r>
    </w:p>
    <w:p>
      <w:pPr>
        <w:pStyle w:val="Heading2"/>
      </w:pPr>
      <w:r>
        <w:t>Erwägungen</w:t>
      </w:r>
    </w:p>
    <w:p>
      <w:r>
        <w:rPr>
          <w:b/>
        </w:rPr>
        <w:t>E. 1</w:t>
      </w:r>
    </w:p>
    <w:p>
      <w:r>
        <w:t>a) La décision attaquée a été rendue le 4 avril 2023, soit durant les féries de Pâques, courant du 2 au 16 avril 2023 (art. 96 de la loi du 28 octobre 2008 sur la procédure administrative [LPA-VD; BLV 173.36]). Ainsi, le délai de recours de 30 jours (art. 95 al. 1 LPA-VD) a commencé à courir le 17 avril 2023 pour échoir le 16 mai suivant. Les pourvois formés respectivement les 12 et 15 mai 2023 ont ainsi été déposés en temps utile. b) Sous l’angle de la légitimation à recourir, il va de soi que l’exercice du droit de préemption par l’autorité intimée fait obstacle à l’acquisition du bien-fonds par la promettante acheteuse, soit A.________; pour elle, il s’agit clairement d’une restriction de sa liberté économique, de sorte qu’elle bénéficie d’un intérêt digne de protection (voir d’un intérêt juridique) à contester la décision attaquée. Par ailleurs, pour ce qui concerne B.________, cette société, par le jeu de la décision attaquée, se trouve privée de réaliser son immeuble aux conditions qu'elle souhaite, dont elle reste certes propriétaire; il demeure que cette société ne peut pas poursuivre la relation d’affaire litigieuse avec C.________, de sorte qu’elle subit également une restriction de sa liberté de disposer de son bien-fonds et donc de son droit de propriété. Il faut donc également lui reconnaître un intérêt digne de protection au recours. Il convient ainsi d’entrer en matière et d’examiner les pourvois sur le fond.</w:t>
      </w:r>
    </w:p>
    <w:p>
      <w:r>
        <w:rPr>
          <w:b/>
        </w:rPr>
        <w:t>E. 2</w:t>
      </w:r>
    </w:p>
    <w:p>
      <w:r>
        <w:t>Le droit de préemption ne peut s'exercer qu'aux conditions cumulatives suivantes : -  il doit viser la création de LUP ; -  il doit répondre à une pénurie au sens de l'article 2 dans le district concerné ; -  la surface de la parcelle visée doit être d'au moins 1'500 m2,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3.4</w:t>
      </w:r>
    </w:p>
    <w:p>
      <w:r>
        <w:t>La promesse de vente du 22 mars 2007 porte non pas sur un immeuble proprement dit, mais sur les droits indivis de A., pour 1/5e, sur la parcelle qu'il détient actuellement en main commune avec les autres membres de l'hoirie (art. 602 al. 2 CC). La promesse a été passée en forme authentique et avec l'accord des cohéritiers, mais ces deux formalités n'étaient pas nécessaires puisqu'il ne s'agissait que d'une cession de droit au sens de l'art. 635 CC - et non d'une vente immobilière -, qui n'obligeait que le cédant (art. 635 al. 2 CC), raison pour laquelle l'inscription d'un droit d'emption a été refusée par le Registre foncier. L'acte du 22 mars 2007 n'a donc pas pour but de transférer immédiatement aux acheteurs la propriété d'une part de l'immeuble. Selon l'art. 4 LGL, le droit de préemption de l'Etat peut aussi s'exercer en cas de promesse d'aliénation, contrairement à la solution qui prévaut en droit privé (ATF 85 II 572 consid. 4 p. 578); il faut toutefois pour cela qu'un droit d'emption ait été convenu. Si une clause de ce type existe bien dans la promesse de cession, l'inscription d'un tel droit a été refusée par le registre foncier, faute de porter sur un immeuble. Les conditions posées par la loi (aliénation ou promesse d'aliénation avec octroi d'un droit d'emption) ne sont donc pas réalisées.</w:t>
      </w:r>
    </w:p>
    <w:p>
      <w:r>
        <w:rPr>
          <w:b/>
        </w:rPr>
        <w:t>E. 3.5</w:t>
      </w:r>
    </w:p>
    <w:p>
      <w:r>
        <w:t>Pour qu'une promesse de cession puisse, au regard du texte et du but de la loi, être assimilée sans arbitraire à une aliénation onéreuse, il faudrait à tout le moins que l'objet, les conditions et le prix de vente ultérieurs en soient déjà précisés. Tel n'est pas non plus le cas en l'espèce. […]" 3. Dans le cas d’espèce, les sociétés recourantes contestent l’existence d’un cas de préemption. Tout d’abord, elles mettent en doute qu’une promesse de vente suffise, contrairement à la vente elle-même, pour réaliser cette situation. En outre et surtout, elles soulignent que la promesse de vente du 22 février 2023 a été annulée par les parties avant même que la commune n’exerce son droit de préemption éventuel (l’annulation remonte au 30 mars 2023, alors que la commune a exercé son droit le 4 avril suivant). a) On retire de la nature publique du droit de préemption légal ici en cause, ainsi que, plus précisément, de la jurisprudence du Tribunal fédéral précitée que la définition des cas de préemption propres à déclencher l’exercice d’un tel droit relève du droit public; en particulier, rien n’empêche que les dispositions cantonales prévoient que, outre la vente proprement dite, la promesse de vente déclenche elle aussi la possibilité d’exercer ce droit (dans ce sens, ATF 134 I 263, consid. 3.4 précité). La question demeure de savoir si le droit vaudois peut être compris en ce sens qu’il prévoit la promesse de vente comme cas de préemption. Les art. 31 ss LPPPL ne le disent pas expressément. Toutefois, l’art. 32 al. 2 prévoit que le propriétaire doit aviser le titulaire du droit de préemption en cas de promesse de vente; en outre, selon l’art. 33 du même texte, la commune doit notifier aux parties à l’acte de vente sa décision d’acquérir le bien-fonds dans un délai de 40 jours à compter de la notification de cet avis. Autrement dit, elle doit se déterminer sur l’usage ou non de son droit de préemption dès la réception de cet avis, même s’il n’a trait qu’à une promesse de vente (et non à un acte de vente). On pourrait dès lors penser que la solution du droit vaudois s’apparente à celle du droit genevois. Néanmoins, au vu des considérations qui suivent, on laissera ouverte la question de savoir si une promesse de vente doit être considérée, dans le cadre de la LPPPL, comme un cas de préemption. b) On se souvient en effet que les sociétés recourantes, procédant par acte authentique le 30 mars 2023, ont annulé la promesse de vente ici en cause; or, l’exercice du droit de préemption par la commune est intervenu le 4 avril 2023 seulement. aa) La jurisprudence cantonale citée plus haut se réfère, dans les cas où le droit public ne répond pas à une question, aux dispositions de l’art. 681 al.1 CC, lequel renvoie à son tour aux art. 216 ss CO. Or, l’art. 216d al. 2 CO prévoit ce qui suit : "Si le contrat de vente est résilié alors que le droit de préemption a déjà été exercé ou si une autorisation nécessaire est refusée pour des motifs tenant à la personne de l’acheteur, la résiliation ou le refus reste sans effet à l’égard du titulaire du droit de préemption." L’idée à la base de cette disposition est bien évidement d’éviter certains abus; autrement dit, le vendeur et l’acheteur ne peuvent échapper à l’exercice du droit de préemption en annulant leur acte lorsque le tiers titulaire a fait usage de son droit. Pour les mêmes motifs, les parties à l’acte ne sauraient prévoir une clause à teneur de laquelle la vente serait caduque au cas où ce tiers titulaire ferait usage de ce droit. Cette disposition ne résout pas toutes les hypothèses qui peuvent survenir, par exemple celle d’une invalidation de la vente pour cause d’erreur essentielle; la doctrine semble considérer que cette circonstance, en quelque sorte, efface la vente et ne permet alors pas l’exercice du droit de préemption. Néanmoins, pour le surplus, la doctrine majoritaire retient que, lorsque la vente (ou la promesse de vente) est annulée avant l’exercice du droit de préemption, celui-ci ne peut plus être actionné (sous réserve d’abus de droit; voir à ce propos Thévenoz/Werro, édit., Commentaire romand du Code des obligations I, Bâle 2021,  I, Foëx – art. 216d CO N 12, avec référence à l’avis contraire de Steinauer, ainsi que d’autres références) ; il s’agit là d’une interprétation a contrario de l’art. 216d al. 2 CO, à laquelle rien ne semble s’opposer. bb) Ainsi, à suivre l’opinion majoritaire de la doctrine, à laquelle la cour se rallie, l’annulation de la promesse de vente intervenue par acte authentique du 30 mars 2023 a entraîné la suppression d’un (éventuel) cas de préemption. Avant de poursuivre, il convient toutefois de se demander si les objectifs d’intérêt public de la LPPPL font obstacle à l'application de cet article 216d al. 2 CO, à titre de droit public supplétif. Tel n’est toutefois pas le cas: en effet, après l’annulation examinée ici, B.________ reste la propriétaire de la parcelle 3618 du cadastre du Mont-sur-Lausanne. Au cas où celle-ci souhaiterait l’aliéner, la commune précitée pourrait exercer le droit de préemption que lui confère la LPPPL; on peut dès lors considérer que l’intérêt public lié à la réalisation de logements d’utilité publique se trouve ainsi sauvegardé, même si la construction de tels logements se trouve effectivement et potentiellement reportée dans le temps. Ce dernier aspect ne saurait constituer un intérêt public suffisant pour écarter l’application par analogie de l’art. 216d al. 2 CO en l’espèce et justifier la restriction du droit de propriété que l’exercice du droit de préemption impliquerait dans cette hypothèse. Par ailleurs, on ne saurait voir dans les démarches des recourants un abus de droit ou une fraude à la loi; en effet, en procédant de la sorte, ils n’obtiennent pas un résultat prohibé par la loi par une voie détournée que la loi laisserait ouverte. cc) Il découle des considérations qui précèdent que, suite à l’annulation de la promesse de vente, il n’existait plus de cas de préemption au moment où la commune a déclaré exercer ce droit. Dès lors, les conditions d’exercice du droit de préemption n’étant pas remplies, force est d’annuler la décision attaquée. Compte tenu de ce résultat, obtenu dans le cadre d’un recours formé en temps utile, point n’est besoin d’examiner l’éventuelle nullité d’une telle décision. 4. Vu l’issue du recours, il n’y a pas lieu de se prononcer au surplus sur un autre moyen soulevé par les recourantes. Celles-ci font valoir en effet que la commune, si elle exerçait le droit de préemption, ne serait pas en mesure d’assumer l’un des éléments de la promesse de vente, suivant lequel la promettante-acheteuse promettait de confier le mandat de direction des travaux de construction à C.________ pour un montant de 600'000 francs. La commune, en effet, aurait sans doute dû, dans ce cas lancer une procédure de marché public pour attribuer un tel mandat, de sorte qu’elle ne pouvait reprendre sans autre une telle promesse à son compte. A cet égard, on a évoqué plus haut l’art. 216d al. 3 CO, suivant lequel le titulaire du droit de préemption peut acquérir l’immeuble aux conditions dont le vendeur est convenu avec le tiers (d’ailleurs, on l’a vu, l’art. 33 LPPPL va dans le même sens). Toutefois, comme l’a relevé la jurisprudence (ATF 134 III 597, consid. 3.4.1 et les références; voir aussi CDAP, arrêt AC.2021.0167 précité, consid. 10), lorsque le préempteur n’est pas en mesure d’exécuter les clauses accessoires, elles doivent être converties en une créance pécuniaire. Sans qu’il y ait lieu de trancher la question de manière définitive ici, on relèvera que cette possibilité de conversion semble ouverte dans la présente configuration.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En définitive, il découle des considérations qui précèdent (spécialement au sujet de l’annulation de la promesse de vente) que les recours doivent être admis et la décision attaquée annulée. Le présent arrêt sera dès lors rendu sans frais. Pour le surplus, les sociétés recourantes, qui ont procédé avec le concours d’un mandataire professionnel, ont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