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AC.2023.0125 vom 11. Oktober 2023</w:t>
      </w:r>
    </w:p>
    <w:p>
      <w:r>
        <w:t>VD Tribunal cantonal, 2023-10-11, FR</w:t>
      </w:r>
    </w:p>
    <w:p>
      <w:r>
        <w:rPr>
          <w:b/>
        </w:rPr>
        <w:t xml:space="preserve">Quelle: </w:t>
      </w:r>
      <w:r>
        <w:t>https://mcp.opencaselaw.ch/entscheid/vd_omni_AC.2023.0125</w:t>
      </w:r>
    </w:p>
    <w:p>
      <w:r>
        <w:t>FR: VD_OMNI AC.2023.0125 du 11 octobre 2023</w:t>
      </w:r>
    </w:p>
    <w:p>
      <w:r>
        <w:t>IT: VD_OMNI AC.2023.0125 del 11 ottobre 2023</w:t>
      </w:r>
    </w:p>
    <w:p>
      <w:pPr>
        <w:pStyle w:val="Heading2"/>
      </w:pPr>
      <w:r>
        <w:t>Regeste</w:t>
      </w:r>
    </w:p>
    <w:p>
      <w:r>
        <w:t>A.________, B.________, C.________/Municipalité de Chavannes-près-Renens | Recours contre le refus d'un permis de construire un bâtiment de 22 appartements. La municipalité a fait un mauvais usage de son pouvoir d'appréciation et partant violé l'art. 86 LATC, en considérant que la conservation d'une maison d'habitation en note 6, actuellement désaffectée et qui comprenait trois appartements, l'emportait sur l'intérêt public consistant à permettre une utilisation plus dense de la parcelle, comme le permet le plan de quartier. Admission du recours et renvoi de la cause à la municipalité pour qu'elle examine la conformité du projet aux diverses normes de police des constructions ne relevant pas de la clause d'esthétique.</w:t>
      </w:r>
    </w:p>
    <w:p>
      <w:pPr>
        <w:pStyle w:val="Heading2"/>
      </w:pPr>
      <w:r>
        <w:t>Erwägungen</w:t>
      </w:r>
    </w:p>
    <w:p>
      <w:r>
        <w:rPr>
          <w:b/>
        </w:rPr>
        <w:t>E. 1</w:t>
      </w:r>
    </w:p>
    <w:p>
      <w:r>
        <w:t>La voie du recours de droit administratif au Tribunal cantonal, selon les art. 92 ss de la loi du 28 octobre 2008 sur la procédure administrative (LPA-VD; BLV 173.36), est ouverte à l'encontre d'une décision portant refus du permis de construire (cf. art. 114 s. de la loi du 4 décembre 1985 sur l'aménagement du territoire et les constructions [LATC; BLV 700.11]). Les propriétaires de la parcelle concernée ont qualité pour recourir (art. 75 let. a LPA-VD, par renvoi de l'art. 99 LPA-VD). Déposé en temps utile (art. 95 LPA-VD), le recours satisfait en outre aux autres conditions formelles de recevabilité (notamment art. 79 LPA-VD, par renvoi de l'art. 99 LPA-VD). Il y a donc lieu d'entrer en matière.</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LAT). Mais l'autorité de recours doit sanctionner l'appréciation communale lorsque celle-ci contrevient au droit supérieur. Selon la jurisprudence récente du Tribunal fédéral, sur des éléments susceptibles de heurter le droit supérieur, il appartient à la commune de motiver soigneusement sa décision.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Dans un arrêt récent concernant la commune de Zurich (ATF 145 I 52), le Tribunal fédéral a posé le principe suivant (regest du consid. 4): si, pour des raisons esthétiques, l'autorité communale des constructions exige une réduction de l'indice brut d'utilisation de masse en principe admissible (en allemand: "die grundsätzlich zugelassene Baumasse"), cette réduction doit être justifiée par des intérêts publics prépondérants. Dans les considérants, il a indiqué que l'utilisation de l'indice maximal correspond en principe à un intérêt public, puisque la politique suisse d'aménagement du territoire poursuit l'objectif important de concentrer le développement de l'urbanisation à l'intérieur du milieu bâti en créant des agglomérations compactes, de façon à garantir une utilisation mesurée du sol. Si le plan d'affectation admet la construction d'un certain nombre d'étages, on ne peut pas de manière générale dans un quartier exiger que le nombre d'étages soit réduit d'une unité, pour des motifs esthétiques, à moins que cela ne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(cf. art. 1 al. 1 et al. 2 let. a bis et art. 3 al. 3 let. a bis LAT; ATF 147 II 125 consid. 9). d)  Il est évident que ces objectifs de densification sont valables pour le territoire de la commune de Chavannes-près-Renens, singulièrement pour le quartier des Oches (cf. aussi à ce propos l'arrêt CDAP AC.2008.0138 du 31 juillet 2009 consid. 1b/cc et 3b/bb [recours contre l'adoption de ce plan de quartier]). La pesée des intérêts effectuée en l'occurrence par la municipalité n'est pas convaincante. Dans l'exercice de son pouvoir d'appréciation, cette autorité n'a pas tenu compte de l'intérêt public consistant à permettre une utilisation plus dense de la parcelle, en augmentant sensiblement le nombre d'appartements disponibles. Les arguments invoqués en faveur de la conservation du bâtiment n° ECA 250, qualifié d'emblématique, sont très faibles, la valeur patrimoniale de ce bâtiment n'est pas très importante, d'après le service cantonal spécialisé qui ne lui a pas donné une note de recensement démontrant qu'il s'agirait d'un objet d'intérêt local (note 3; art.</w:t>
      </w:r>
    </w:p>
    <w:p>
      <w:r>
        <w:rPr>
          <w:b/>
        </w:rPr>
        <w:t>E. 8</w:t>
      </w:r>
    </w:p>
    <w:p>
      <w:r>
        <w:t>al. 3 let. c RLPrPCI) voire d'un objet bien intégré (note 4; art. 8 al. 3 let. d RLPrPCI). Cela étant, quand bien même une note attestant de qualités plus importantes aurait été attribuée, il faudrait des circonstances particulières, qui devraient être soigneusement décrites dans la décision, pour considérer que la réglementation claire du plan de quartier n'est pas applicable sur la parcelle des recourantes. Or il apparaît, après l'inspection locale, qu'on ne se trouve pas en présence d'éléments propres à justifier un refus de permis de démolir puis un refus de permis de construire, sur la base de la clause d'esthétique. En outre, la position du périmètre d'implantation, parallèle à l'avenue de la Gare, est cohérente, puisque cette rue est selon la décision attaquée un "axe structurant". Les qualificatifs de "quelconque" et "peu original", attribués par la municipalité à la conception architecturale du bâtiment nouveau, ne sont pas pertinents; cela ne constitue pas une motivation fondée sur des critère objectifs et systématiques. Il est notoire que dans l'agglomération lausannoise, la conception architecturale de nombreux bâtiments est quelconque ou peu originale, parfois en raison des contraintes des plans d'affectation spéciaux, mais ces caractéristiques ne justifient en principe pas un refus de permis de construire. e) La municipalité a donc fait un mauvais usage de son pouvoir d'appréciation et, ce faisant, elle a violé l'art. 86 LATC ainsi que les règles correspondantes du droit communal. La décision attaquée doit par conséquent être annulée. Le recours, bien fondé, doit être admis, sans qu'il y ait lieu d'examiner les autres griefs. Sur la base du dossier, le tribunal n'est pas en mesure de se prononcer sur la conformité du projet aux diverses normes de police des constructions ne relevant pas de la clause d'esthétique. C'est pourquoi il y a lieu d'admettre les conclusions subsidiaires des recourantes et de renvoyer la cause à la municipalité pour nouvelle décision sur la demande de permis de construire. Vu les considérants du présent arrêt, elle ne pourra plus refuser cette autorisation au motif qu'un des bâtiments existants devrait être conservé. Elle ne pourra pas non plus invoquer la clause d'esthétique pour refuser par principe la construction d'un nouveau bâtiment respectant les exigences du plan de quartier en matière d'implantation et de dimensions. La nouvelle décision de la municipalité devra être rendue dans les quarante jours dès la date du présent arrêt (cf. art. 114 al. 1 LATC). 3. Vu l'issue de la cause, il se justifie de ne pas percevoir d'émolument judiciaire (cf. art. 49 LPA-VD). Les recourantes, qui obtiennent gain de cause avec l'assistance d'un avocat, ont droit à des dépens, à la charge de la Commune de Chavannes-près-Renens.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