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AC.2023.0098 vom 10. Januar 2024</w:t>
      </w:r>
    </w:p>
    <w:p>
      <w:r>
        <w:t>VD Tribunal cantonal, 2024-01-10, FR</w:t>
      </w:r>
    </w:p>
    <w:p>
      <w:r>
        <w:rPr>
          <w:b/>
        </w:rPr>
        <w:t xml:space="preserve">Quelle: </w:t>
      </w:r>
      <w:r>
        <w:t>https://mcp.opencaselaw.ch/entscheid/vd_omni_AC.2023.0098</w:t>
      </w:r>
    </w:p>
    <w:p>
      <w:r>
        <w:t>FR: VD_OMNI AC.2023.0098 du 10 janvier 2024</w:t>
      </w:r>
    </w:p>
    <w:p>
      <w:r>
        <w:t>IT: VD_OMNI AC.2023.0098 del 10 gennaio 2024</w:t>
      </w:r>
    </w:p>
    <w:p>
      <w:pPr>
        <w:pStyle w:val="Heading2"/>
      </w:pPr>
      <w:r>
        <w:t>Regeste</w:t>
      </w:r>
    </w:p>
    <w:p>
      <w:r>
        <w:t>A.________, B.________/Municipalité de Vevey | Recours de propriétaires contre le refus de la municipalité d'autoriser l'abattage d'un cèdre de l'Atlas sis sur leur parcelle. - Rejet des griefs formels des recourants (absence d'indication des voies de droit dans la décision attaquée, qui ne comporte en outre que la signature d'un municipal et d'un chef de service; défaut de motivation) (consid. 1). - Il est douteux que, comme l'a fait l'autorité intimée qui entendait la refuser, il soit possible de statuer sur une demande d'abattage sans la mettre à l'enquête publique. Cette question peut rester indécise, dès lors qu'on ne voit pas que quiconque puisse subir un préjudice à ce propos (consid. 2). - La municipalité a procédé à une pesée d'intérêts conforme à la loi, en particulier à la LPrPNP, applicable en l'occurrence dès lors que la demande d'abattage a été déposée en janvier 2023 (consid. 4 et 5). Recours rejeté.</w:t>
      </w:r>
    </w:p>
    <w:p>
      <w:pPr>
        <w:pStyle w:val="Heading2"/>
      </w:pPr>
      <w:r>
        <w:t>Erwägungen</w:t>
      </w:r>
    </w:p>
    <w:p>
      <w:r>
        <w:rPr>
          <w:b/>
        </w:rPr>
        <w:t>E. 1</w:t>
      </w:r>
    </w:p>
    <w:p>
      <w:r>
        <w:t>Selon l'art. 92 al. 1 de la loi vaudoise du 28 octobre 2008 sur la procédure administrative (LPA-VD; BLV 173.36), le Tribunal cantonal connaît des recours contre les décisions et décisions sur recours rendues par les autorités administratives, lorsque la loi ne prévoit aucune autre autorité pour en connaître. Aux termes de l'art. 95 LPA-VD, le recours au Tribunal cantonal s'exerce dans les 30 jours dès la notification de la décision ou du jugement attaqués. a) Les recourants font valoir plusieurs griefs formels, notamment l'absence d'indication de la voie de recours dans la décision attaquée. aa) L'art. 42 LPA-VD précise le contenu d'une décision; celle-ci doit comporter le nom de l'autorité qui a statué et sa composition s'il s'agit d'une autorité collégiale (let. a), le nom des parties et de leurs mandataires (let. b), les faits, les règles juridiques et les motifs sur lesquels elle s'appuie (let. c), le dispositif (let. d), la date et la signature (let. e) ainsi que l'indication des voies de droit ordinaires ouvertes à son encontre, du délai pour les utiliser et de l'autorité compétente pour en connaître (let. f). Selon un principe général du droit, valable pour tous les domaines du droit, notamment pour le droit administratif, principe déduit de l'art. 9 Cst. protégeant la bonne foi du citoyen dans ses relations avec l'Etat, l'absence d'indication ou l'indication erronée des moyens de droit à l'encontre d'une décision, ainsi que l'absence de notification ou une notification irrégulière ne peut entraîner de préjudice aux destinataires concernés (cf. arrêts TF 1C_268/2021 du 25 novembre 2021 consid. 2.1; 2C_318/2009 du 10 décembre 2009 consid. 3.3; cf. aussi CDAP AC.2021.0116 du 6 juillet 2022 consid. 3a; AC.2019.0389 du 31 mars 2021 consid. 3a, et les références citées). bb) En l'occurrence, l'absence d'indication des voies de droit n'a pas empêché les recourants d'agir en temps utile devant l'autorité de recours compétente, de sorte qu’ils n’ont subi aucun préjudice en lien avec un tel défaut. b) Les recourants contestent encore la validité formelle de la décision attaquée, qui ne comporte que la signature d'un municipal et d'un chef de service. aa) L’autorité désignée par la loi pour la délivrance d’une autorisation ou d’un refus en matière d’abattage d’arbres est en l’occurrence la municipalité, conformément aux art. 8 al. 1 let. e et 15 al.</w:t>
      </w:r>
    </w:p>
    <w:p>
      <w:r>
        <w:rPr>
          <w:b/>
        </w:rPr>
        <w:t>E. 2</w:t>
      </w:r>
    </w:p>
    <w:p>
      <w:r>
        <w:t>La municipalité peut, par décision, déléguer des pouvoirs de signature à l'un de ses membres, à un cadre ou un employé communal. La délégation s'opère par une procuration expresse donnée sous la signature du syndic et du secrétaire ou de leur remplaçant désigné par la municipalité, et munie du sceau de cette autorité.</w:t>
      </w:r>
    </w:p>
    <w:p>
      <w:r>
        <w:rPr>
          <w:b/>
        </w:rPr>
        <w:t>E. 3</w:t>
      </w:r>
    </w:p>
    <w:p>
      <w:r>
        <w:t>La procuration peut être spéciale ou générale. Dans ce dernier cas, elle indique les limites et la durée du mandat.</w:t>
      </w:r>
    </w:p>
    <w:p>
      <w:r>
        <w:rPr>
          <w:b/>
        </w:rPr>
        <w:t>E. 4</w:t>
      </w:r>
    </w:p>
    <w:p>
      <w:r>
        <w:t>Les actes pris en vertu d'une délégation de pouvoirs doivent être donnés sous la signature du ou des membres de la municipalité ou de la personne au bénéfice de la délégation.</w:t>
      </w:r>
    </w:p>
    <w:p>
      <w:r>
        <w:rPr>
          <w:b/>
        </w:rPr>
        <w:t>E. 5</w:t>
      </w:r>
    </w:p>
    <w:p>
      <w:r>
        <w:t>RPA régit l’arborisation compensatoire. d) aa) Selon la jurisprudence relative à la législation antérieure (aLPNS/aLPNMS), les conditions énumérées tant à l'art. 6 aLPNS qu'à l’art. 15 RLPNS ne sont pas exhaustives; l'autorité doit tenir compte de l'ensemble des circonstances et mettre en balance l'intérêt public à la conservation de l'objet protégé avec celui de l'administré à sa suppression. Pour statuer sur une demande d'autorisation d'abattage et sur les oppositions éventuelles (cf. art. 21 RLPNS), l'autorité communale procède à une pesée complète des intérêts en présence et détermine si l'intérêt public à la protection des arbres en cause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(cf. CDAP AC.2021.0340 du 6 avril 2022 consid. 2c; AC.2021.0197 du 7 octobre 2021 consid. 2c; AC.2021.0060 du 23 septembre 2021 consid. 2b, et les références citées). L'intérêt à la conservation d'un arbre protégé doit en outre être comparé à l'intérêt visant à permettre une utilisation rationnelle des terrains à bâtir conforme aux plans des zones et aux objectifs de développement définis par les plans directeurs. Doit notamment être pris en considération l’intérêt public, concrétisé par la planification locale, à la densification des constructions (cf. arrêts TF 1C_340/2015 du 16 mars 2016 consid. 5.2; 1C_883/2013 du 10 juin 2014 consid. 3.3; 1C_477/2009 du 17 juin 2010 consid. 4.5, et les références citées) . Autrement dit, même si cela ne résulte pas explicitement du texte de la loi, il y a lieu d'interpréter de manière objective les intérêts du constructeur, au regard des droits conférés au propriétaire du bien-fonds par les plans et règlements d’aménagement en vigueur (cf. CDAP AC.2021.0340 du 6 avril 2022 consid. 2c; AC.2021.0197 du</w:t>
      </w:r>
    </w:p>
    <w:p>
      <w:r>
        <w:rPr>
          <w:b/>
        </w:rPr>
        <w:t>E. 7</w:t>
      </w:r>
    </w:p>
    <w:p>
      <w:r>
        <w:t>octobre 2021 consid. 2c; AC.2021.0060 du 23 septembre 2021 consid. 2b, et les références citées). Lorsque la protection instaurée par le droit communal procède non pas d'un classement individuel des arbres, mais d'un règlement déclarant protéger tous les arbres revêtant certaines caractéristiques, comme dans le cas de la Commune de Vevey, il faut tenir compte du caractère schématique de la protection et considérer que l'abattage et le remplacement éventuel peuvent être envisagés en rapport avec une construction. Enfin, l'arborisation d'une parcelle constructible doit être considérée comme un élément qui n'est pas nécessairement permanent, puisqu'il s'agit de plantes qui croissent et meurent, mais qui est au contraire susceptible d'évolution, ce qui permet cas échéant de le remodeler en procédant à de nouvelles plantations. C'est dans cette perspective qu'il faut concevoir les dispositions réglementaires communales (fondées sur l'art. 6 al. 2 aLPNS) qui prévoient dans certaines hypothèses le remplacement des arbres abattus, parfois dans le cadre d'une arborisation minimale ( cf. CDAP AC.2021.0340 du 6 avril 2022 consid. 2c; AC.2021.0197 du 7 octobre 2021 consid. 2c; AC.2021.0060 du 23 septembre 2021 consid. 2b, les références citées ). bb) A la lecture des dispositions des aLPNS/aLPNMS et du RLPNS ainsi que de la jurisprudence rendue à leur propos d’une part, des dispositions de la LPrPNP d’autre part, l’on peut relever que les conditions d’abattage d’un arbre protégé sont, sous l’angle de la nouvelle loi, au moins aussi restrictives que selon l’ancienne législation (cf. CDAP AC.2022.0358 du 14 mars 2023 consid. 2a/bb). L’on peut même sérieusement penser que la nouvelle législation est plus restrictive à cet égard. Désormais en effet, abattre un arbre nécessite qu’une dérogation, et non plus une simple autorisation, soit accordée au requérant, le principe voulant que le patrimoine arboré en général soit, sauf exception, conservé (cf. art. 14 et 15 LPrPNP). La lecture des buts et principes de la LPrPNP (cf. art. 1 et 2) et de l’exposé des motifs permet d’ailleurs de constater l’importance qu’il convient d’accorder à la nature en général et au patrimoine arboré en particulier (cf. supra consid. 4b). Il ressort en outre de la comparaison des art. 6 aLPNS et 15 LPrPNP en particulier que, dans le premier cité, les conditions posées à l’abattage d’un arbre protégé sont précédées de l’adverbe " notamment ", ce qui laisse penser que d’autres circonstances sont envisageables. Tel n’est en revanche pas le cas des conditions posées à l’obtention d’une dérogation au sens de l’art. 15 LPrPNP. Cette question peut, quoi qu’il en soit rester indécise. Il convient dans le cas d’espèce de se fonder sur la nouvelle législation entrée en vigueur le 1 er janvier 2023, dès lors que la demande d’abattage a été déposée par les recourants le 11 janvier 2023. 5. Les recourants font valoir plusieurs motifs à l'appui de leur demande d'abattage. a) Ils contestent tout d'abord la valeur esthétique et dendrologique de l'arbre. Cette allégation ne résiste pas à l'examen. Il ressort de la demande déposée par les recourants visant à l’abattage de leur cèdre que ce dernier a un tronc dont le diamètre est de 90 cm. Cet arbre est ainsi soumis au règlement communal (RPA) et il est protégé conformément à l'art. 14 LPrPNP. La municipalité a d'ailleurs indiqué que cet arbre pourrait même être qualifié de remarquable au sens de la LPrPNP. b) aa) Quant aux nuisances alléguées, en particulier les chutes d'épines sur la toiture et l'allée, ainsi que les coulées de sève, elles sont la conséquence de l’activité physiologique ordinaire de l’arbre. Il s’agit de nuisances normales auxquelles les propriétaires du fonds concerné doivent s’attendre. Il leur revient, comme ils le font d’ailleurs déjà, de faire procéder aux travaux d’enlèvement des aiguilles sur la toiture et de débouchage des cheneaux aussi souvent que nécessaire et par des personnes compétentes, de manière à éviter tout risque. Dans cette mesure, les dégâts allégués en 2021, au demeurant non étayés, ne sont pas pertinents. Le ramassage régulier des cônes et de leurs écailles constitue, comme l'a retenu l'autorité intimée, des mesures raisonnables permettant d'atténuer ces inconvénients. On relèvera que les éventuels frais supplémentaires d’entretien en rapport avec la perte, normale, des aiguilles liées à la présence du cèdre ne sont pas déterminants dans la pesée des intérêts (cf. CDAP AC.2021.0340 du 6 avril 2022 consid. 3b; AC.2021.0197 du 7 octobre 2021 consid. 3c, et la référence citée). bb) Quant au fait qu’au vu de sa taille, l’arbre priverait désormais de lumière toute la façade nord-est de la maison, ce point n'apparaît pas non plus déterminant. Le cèdre ne fait qu’assombrir, ce que relèvent les recourants eux-mêmes, des espaces de circulation et des salles d’eau, soit des pièces dans lesquelles il est peu usuel de se tenir pour de longues durées, situées en outre au nord-est. Il ne s'agit ainsi nullement de priver un local d'habitation préexistant de son ensoleillement normal dans une mesure excessive (art. 15 al. 1 ch. 1 RLPNS), à supposer que le bâtiment des recourants soit effectivement préexistant à l'arbre, ce qui n'est, en l'état, pas démontré. L'appréciation de la municipalité selon laquelle de telles nuisances ne justifient pas l'abattage d'un tel arbre ne prête ainsi pas le flanc à la critique. cc) S'agissant ensuite de l'impact du développement racinaire sur le sol, le tribunal de céans a jugé à plusieurs reprises que l’abattage d’un arbre protégé en bonne santé ne se justifie pas au motif que ses racines pourraient éventuellement porter atteinte à une canalisation ou à des drainages lorsque, au moment de la demande d’abattage, aucun élément ne démontre que la fonctionnalité de ces équipements serait alors réduite. Cas échéant, la situation pourrait être réexaminée si des problèmes concrets devaient apparaître dans le futur (cf. CDAP AC.2017.0261 du 21 janvier 2019 consid. 2d, et les références citées). Au vu des photographies au dossier, le tribunal ne voit pas de raison de s'écarter ici de l'appréciation de l'autorité intimée selon laquelle une éventuelle atteinte au revêtement du sol à proximité de l'arbre n'apparaît pas suffisante pour justifier son abattage. dd) Les recourants invoquent enfin, au vu de la taille qu’ils considèrent comme disproportionnée de leur arbre et de la surface qu’il offrirait au vent, le risque qu’à l’occasion d’une prochaine tempête ou éclair, il ne s’effondre sur leur toit ou celui de voisins, provoquant d’importants dégâts. Comme le relève l’autorité intimée, le cèdre litigieux est en parfaite santé, ce que ne contestent d’ailleurs pas les recourants. On ne voit dans ces circonstances pas de motif sanitaire ou sécuritaire (art. 15 al. 1 let. a LPrPNP; art. 15 al. 1 ch. 4 RPLNS) qui justifierait l'abattage de l'arbre litigieux, de sorte que l'appréciation de la municipalité à cet égard doit également être confirmée. ee) Enfin, les recourants font valoir qu'une autorisation antérieure aurait été délivrée concernant un autre arbre dans des circonstances semblables. Cet argument n'est pas déterminant. En effet, chaque demande distincte d’abattage d’arbre doit être examinée pour elle-même et en fonction de la législation applicable au moment de la demande. c) Vu ce qui précède, la municipalité a procédé à une pesée d'intérêts conforme à la loi. Son appréciation selon laquelle l'intérêt public à la conservation de l'arbre litigieux l'emporte sur l'intérêt privé des recourants à le supprimer pour des motifs essentiellement de convenance personnelle ne prête pas le flanc à la critique et doit être confirmée. 6. a) Les considérants qui précèdent conduisent au rejet du recours et à la confirmation de la décision attaquée. b) En procédure de recours, les frais sont supportés par la partie qui succombe; si celle-ci n'est que partiellement déboutée, les frais sont réduits en conséquence (art. 49 al. 1, 91 et 99 LPA-VD). Quant aux dépens, l 'autorité alloue une indemnité à la partie qui obtient totalement ou partiellement gain de cause, en remboursement des frais qu'elle a engagés pour défendre ses intérêts (art. 55 al. 1, 91 et 99 LPA-VD). Cette indemnité est mise à la charge de la partie qui succombe (art. 55 al. 2, 91 et 99 LPA-VD). En l’occurrence, les recourants font valoir, s’agissant de la fixation des frais et dépens, qu’il conviendrait de tenir compte, d’une part du fait que ce n’est qu’une fois qu’ils se sont fait transmettre, après qu’ils ont déposé recours, l’extrait du 21 février 2023 du procès-verbal de la séance municipale du 20 février 2023, qu’ils ont obtenu la décision de l’autorité intimée relative à leur demande d’abattage, d’autre part des problèmes de motivation que revêtiraient tant cet extrait que l’acte du 24 février 2023. L’on ne voit pas que tel doive être le cas. Les recourants ont en effet, au vu des considérants qui précèdent, entièrement succombé et l’autorité intimée a obtenu gain de cause, avec l'assistance d'un mandataire professionnel. Les frais de justice doivent ainsi être dans leur totalité mis à la charge des recourants, qui verseront en outre une indemnité à titre de dépens à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