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AC.2023.0080 vom 20. September 2023</w:t>
      </w:r>
    </w:p>
    <w:p>
      <w:r>
        <w:t>VD Tribunal cantonal, 2023-09-20, FR</w:t>
      </w:r>
    </w:p>
    <w:p>
      <w:r>
        <w:rPr>
          <w:b/>
        </w:rPr>
        <w:t xml:space="preserve">Quelle: </w:t>
      </w:r>
      <w:r>
        <w:t>https://mcp.opencaselaw.ch/entscheid/vd_omni_AC.2023.0080</w:t>
      </w:r>
    </w:p>
    <w:p>
      <w:r>
        <w:t>FR: VD_OMNI AC.2023.0080 du 20 septembre 2023</w:t>
      </w:r>
    </w:p>
    <w:p>
      <w:r>
        <w:t>IT: VD_OMNI AC.2023.0080 del 20 settembre 2023</w:t>
      </w:r>
    </w:p>
    <w:p>
      <w:pPr>
        <w:pStyle w:val="Heading2"/>
      </w:pPr>
      <w:r>
        <w:t>Regeste</w:t>
      </w:r>
    </w:p>
    <w:p>
      <w:r>
        <w:t>A.________, B.________, C.________/Municipalité de Blonay - Saint-Légier, D.________ | Arrêt de la CDAP annulant la décision de la municipalité levant l'opposition de voisins et octroyant le permis de construire demandé concernant la démolition d'une villa existante et la construction d'une villa mitoyenne avec garage enterré et piscines, de même qu'autorisant l'abattage de douze arbres. Recours des mêmes voisins contre la nouvelle décision de la municipalité levant leur opposition à la demande de permis de construire portant sur un projet de construction semblable, mais plus que sur l'abattage de cinq arbres, et octroyant le permis de construire demandé, de même qu'autorisant l'abattage des arbres. - Les conditions d'abattage d'un arbre protégé sont, sous l'angle de la nouvelle loi, au moins aussi restrictives que sous l'ancienne législation. L'on peut même sérieusement penser que la nouvelle législation est plus restrictive à cet égard. Cette question peut toutefois rester en l'occurrence indécise (consid. 2). - Même si la constructrice limite désormais sa demande d'abattage à cinq et non plus douze arbres du fait de son projet de construction, il n'est toujours pas établi à satisfaction de droit que son intérêt privé à abattre les arbres en cause sur sa parcelle doive l'emporter sur l'intérêt public à leur conservation ou, à tout le moins, de certains d'entre eux. La municipalité a ainsi abusé de son pouvoir d'appréciation en autorisant l'abattage des arbres (consid. 3). Recours admis, décisions attaquées annulées et dossier de la cause renvoyé à la municipalité pour nouvelles décisions dans le sens des considérants.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Le recours a été déposé en temps utile (art. 95 LPA-VD) et il respecte les exigences légales formelles ainsi que de motivation (art.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en tant qu'il critique notamment les dimensions ou les effets de la construction projetée. On peut admettre que les recourants sont dans cette situation. Il y a donc lieu d'entrer en matière sur le recours. Cela étant, l’on peut se demander pourquoi la décision du 13 février 2023 autorisant l’abattage des arbres tel que requis n’a pas formellement été également transmise aux recourants. Elle n’a pas non plus été intégrée ni même mentionnée dans la décision de levée de l’opposition et elle est seulement mentionnée, mais sans détails, dans le permis de construire délivré le même jour à la constructrice. Point n’est besoin d’examiner plus avant les éventuelles conséquences de cette situation, du moment que le recours doit de toute manière être admis pour un autre motif.</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L'entretien du patrimoine arboré est possible dans les limites du droit fédéral et cantonal. Il incombe au propriétaire du bien-fonds concerné qui peut le confier à un tiers exploitant.</w:t>
      </w:r>
    </w:p>
    <w:p>
      <w:r>
        <w:rPr>
          <w:b/>
        </w:rPr>
        <w:t>E. 4</w:t>
      </w:r>
    </w:p>
    <w:p>
      <w:r>
        <w:t>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 L'art. 71 LPrPNP prévoit, à titre de dispositions transitoires, notamment ce qui suit: " […]</w:t>
      </w:r>
    </w:p>
    <w:p>
      <w:r>
        <w:rPr>
          <w:b/>
        </w:rPr>
        <w:t>E. 5</w:t>
      </w:r>
    </w:p>
    <w:p>
      <w:r>
        <w:t>Il résulte de ce qui précède que le recours doit être admis, les décisions de la municipalité du 13 février 2023 levant les oppositions, octroyant le permis de construire demandé et autorisant l’abattage des arbres tel que requis annulées et le dossier de la cause renvoyé à l’autorité intimée pour nouvelles décisions dans le sens des considérants. Les frais de justice sont mis à la charge de la constructrice, qui succombe (art. 49, 91 et 99 LPA-VD). Les recourants, qui obtiennent gain de cause par l’intermédiaire d’une mandataire, ont droit à des dépens, mis à la charge de la constructrice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