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AC.2023.0059 vom 8. Dezember 2023</w:t>
      </w:r>
    </w:p>
    <w:p>
      <w:r>
        <w:t>VD Tribunal cantonal, 2023-12-08, FR</w:t>
      </w:r>
    </w:p>
    <w:p>
      <w:r>
        <w:rPr>
          <w:b/>
        </w:rPr>
        <w:t xml:space="preserve">Quelle: </w:t>
      </w:r>
      <w:r>
        <w:t>https://mcp.opencaselaw.ch/entscheid/vd_omni_AC.2023.0059</w:t>
      </w:r>
    </w:p>
    <w:p>
      <w:r>
        <w:t>FR: VD_OMNI AC.2023.0059 du 8 décembre 2023</w:t>
      </w:r>
    </w:p>
    <w:p>
      <w:r>
        <w:t>IT: VD_OMNI AC.2023.0059 del 8 dicembre 2023</w:t>
      </w:r>
    </w:p>
    <w:p>
      <w:pPr>
        <w:pStyle w:val="Heading2"/>
      </w:pPr>
      <w:r>
        <w:t>Regeste</w:t>
      </w:r>
    </w:p>
    <w:p>
      <w:r>
        <w:t>A.________, B.________/Municipalité de Vullierens, C.________, D.________ | Recours de voisins contre l'aménagement de places de stationnement sur une parcelle distincte (et séparée par deux parcelles) du bien-fonds supportant la construction qu'elles sont destinées à desservir. Selon la jurisprudence relative à l'art. 39 RLATC, en l'absence de dispositions communales contraires, les dépendances proprement dites ne peuvent être autorisées que si elles sont situées sur le même fonds que la construction principale. En l'occurrence, le règlement communal en vigueur autorise certes l'aménagement de places de parc sur une parcelle voisine, à moins de 100 m (la question du préjudice pour les voisins étant réservée) (c. 3). Cependant, le futur PACom, déjà mis à l'enquête, ne prévoit plus cette faculté dérogeant à l'art. 39 RLATC, de sorte que les places de stationnement doivent être refusées en application de l'art. 49 LATC (c. 4). Recours admis.</w:t>
      </w:r>
    </w:p>
    <w:p>
      <w:pPr>
        <w:pStyle w:val="Heading2"/>
      </w:pPr>
      <w:r>
        <w:t>Erwägungen</w:t>
      </w:r>
    </w:p>
    <w:p>
      <w:r>
        <w:rPr>
          <w:b/>
        </w:rPr>
        <w:t>E. 1</w:t>
      </w:r>
    </w:p>
    <w:p>
      <w:r>
        <w:t>Interjeté dans le délai de trente jours suivant la notification de la décision entreprise (art. 95 de la loi vaudoise du 28 octobre 2008 sur la procédure administrative [LPA-VD; BLV 173.36]), le recours a été déposé en temps utile par les voisins directs de la parcelle concernée par le projet, qui ont tous deux participé à la procédure d'opposition; ils disposent ainsi de la qualité pour recourir (art. 75 LPA-VD par renvoi de l'art. 99 LPA-VD ) . Le recours satisfait en outre aux autres conditions formelles de recevabilité (art. 79 par renvoi de l'art. 99 LPA-VD), de sorte qu'il y a lieu d'entrer en matière sur le fond.</w:t>
      </w:r>
    </w:p>
    <w:p>
      <w:r>
        <w:rPr>
          <w:b/>
        </w:rPr>
        <w:t>E. 2</w:t>
      </w:r>
    </w:p>
    <w:p>
      <w:r>
        <w:t>A titre de mesure d'instruction, les recourants sollicitent la mise en œuvre d'une inspection locale.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AC.2021.0221 du 22 juin 2022 consid. 1a).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140 I 285 consid. 6.3.1; AC.2021.0221 du 22 juin 2022 consid. 1a). b) Dans le cas d'espèce, comme on le verra dans les considérants qui suivent, la Cour s'estime suffisamment renseignée pour statuer en toute connaissance de cause sur les griefs soulevés. Elle renonce dès lors à effectuer une inspection locale sur la parcelle litigieuse, sans qu'il n'en résulte une violation du droit d'être entendus des recourants.</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Vu l'issue du recours, il n'y a pas lieu de statuer sur les autres griefs soulevés, à savoir le respect de l'art. 6 RPGA relatif à la destination de la zone du village, le respect de la distance à la route et le respect des conditions de sécurité liées à la création des places litigieuses.</w:t>
      </w:r>
    </w:p>
    <w:p>
      <w:r>
        <w:rPr>
          <w:b/>
        </w:rPr>
        <w:t>E. 6</w:t>
      </w:r>
    </w:p>
    <w:p>
      <w:r>
        <w:t>Les considérants qui précèdent conduisent à l'admission du recours et à l'annulation de la décision entreprise. a) Les frais et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(AC.2020.0163 du 18 novembre 2021 consid. 10; AC.2019.0099 du 21 avril 2020 consid. 8; AC.2019.0258/AC.2019.0261 du 10 mars 2020 consid. 6). b) Dans le cas d'espèce, les frais de justice seront ainsi mis à la charge des constructeurs, qui succombent. Les recourants, qui ont procédé par l'intermédiaire d'un mandataire professionnel (cf. ATF 142 IV 42 consid. 2 et 135 V 473 consid. 3), ont droit à des dépens à la charge des constructeurs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