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AC.2023.0054 vom 22. März 2024</w:t>
      </w:r>
    </w:p>
    <w:p>
      <w:r>
        <w:t>VD Tribunal cantonal, 2024-03-22, FR</w:t>
      </w:r>
    </w:p>
    <w:p>
      <w:r>
        <w:rPr>
          <w:b/>
        </w:rPr>
        <w:t xml:space="preserve">Quelle: </w:t>
      </w:r>
      <w:r>
        <w:t>https://mcp.opencaselaw.ch/entscheid/vd_omni_AC.2023.0054</w:t>
      </w:r>
    </w:p>
    <w:p>
      <w:r>
        <w:t>FR: VD_OMNI AC.2023.0054 du 22 mars 2024</w:t>
      </w:r>
    </w:p>
    <w:p>
      <w:r>
        <w:t>IT: VD_OMNI AC.2023.0054 del 22 marzo 2024</w:t>
      </w:r>
    </w:p>
    <w:p>
      <w:pPr>
        <w:pStyle w:val="Heading2"/>
      </w:pPr>
      <w:r>
        <w:t>Regeste</w:t>
      </w:r>
    </w:p>
    <w:p>
      <w:r>
        <w:t>A.________/Municipalité de Mathod | Recours contre une décision refusant l'autorisation de construire une dépendance de jardin. Le refus de la municipalité d'octroyer une dispense d'enquête pour le cabanon prévu sur la limite de propriété avec une parcelle voisine n'est pas critiquable. Dès lors que le recourant persiste à s'opposer à la mise à l'enquête publique de ce projet, la municipalité était fondée à refuser l'autorisation requise. Rejet du recours.</w:t>
      </w:r>
    </w:p>
    <w:p>
      <w:pPr>
        <w:pStyle w:val="Heading2"/>
      </w:pPr>
      <w:r>
        <w:t>Erwägungen</w:t>
      </w:r>
    </w:p>
    <w:p>
      <w:r>
        <w:rPr>
          <w:b/>
        </w:rPr>
        <w:t>E. 1</w:t>
      </w:r>
    </w:p>
    <w:p>
      <w:r>
        <w:t>Le recourant s'oppose à la mise à l'enquête publique de son projet de cabanon de jardin, estimant qu'une dispense d'enquête devrait lui être octroyée. Sur le fond, il conteste que son projet de cabanon ne soit pas règlementaire. Il estime dès lors que la municipalité aurait dû délivrer l'autorisation requise. En revanche, il ne s'oppose pas à la mise à l'enquête publique des panneaux solaires et de la pompe à chaleur projetés. a) Selon l'art. 22 al. 1 de la loi fédérale du 22 juin 1979 sur l'aménagement du territoire (LAT; RS 700), aucune construction ou installation ne peut être créée ou transformée sans autorisation de l’autorité compétente. En droit cantonal, l’art. 103 al. 1 de la loi du 4 décembre 1985 sur l'aménagement du territoire et les constructions (LATC; BLV 700.11), dispose qu'aucun travail de construction ou de démolition, en surface ou en sous-sol, modifiant de façon sensible la configuration, l’apparence ou l’affectation d’un terrain ou d’un bâtiment, ne peut être exécuté avant d’avoir été autorisé. Aux termes de l'art. 108 al. 1 LATC, la demande de permis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 teneur de l'art. 109 LATC, la demande de permis est mise à l'enquête publique par la municipalité pendant trente jours, délai durant lequel tout intéressé peut consulter le dossier et déposer par écrit au greffe municipal des oppositions motivées et des observations sur le projet (al. 1 et 4).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3). Les art. 69 à 71 RLATC listent les éléments et indications qui doivent être compris dans la demande de permis de construire. b) Selon la jurisprudence,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(CDAP AC.2022.0353 du 23 août 2023 consid. 2a; AC.2017.0124 du 28 février 2020 consid. 6, et les références citées). c) Selon l'art. 111 LATC, la municipalité peut dispenser de l’enquête publique les projets de minime importance, notamment ceux qui sont mentionnés dans le règlement cantonal. Dans ce cadre, l'art. 72d al. 1, 1 er tiret, RLATC dresse une liste exemplative de tels objets pouvant être dispensés d'enquête publique, soit notamment les constructions et installations de minime importance ne servant pas à l'habitation ou à l'activité professionnelle, telles que cabane, garage à deux voitures, place de stationnement pour trois voitures, chemin d'accès privé pour véhicules motorisés, piscine non couverte, clôture fixe ou mur de clôture, ouvrage lié à l'utilisation des énergies renouvelables et antenne réceptrice privée ou collective de petites dimensions. Le Tribunal cantonal a déjà jugé à maintes reprises que la municipalité ne peut accorder une dispense d'enquête que si le projet n'est pas susceptible de porter atteinte à quiconque posséderait un intérêt digne de protection à empêcher la construction. En d'autres termes, il faut qu'aucune personne pouvant posséder la qualité pour recourir au Tribunal cantonal (notamment les voisins) ne soit touchée par la décision attaquée (cf. CDAP AC.2020.0317 du 8 décembre 2021 consid. 1a/aa; AC.2019.0175 du 19 août 2020 consid. 2c; AC.2020.0026 du 20 juillet 2020 consid. 4b, et les références citées). Il a également rappelé que l'enquête publique est la règle et la dispense d'enquête constitue une exception. L'art. 111 LATC définit exhaustivement les possibilités de la dispense d'enquête. Lorsque les conditions de cette disposition sont réalisées, la commune a la possibilité mais non l'obligation de dispenser d'enquête publique. Cela ressort expressément du texte légal et signifie que lorsque les conditions de l'art. 111 LATC sont réalisées, la commune a le choix de soumettre ou non le projet à enquête publique (CDAP AC.2017.0124 précité consid. 6b; AC.2017.0245 du 26 juin 2018 consid. 9d/aa; AC.2016.0371 du 19 avril 2017 consid. 4a). Sous réserve des hypothèses d’un projet qui enfreint manifestement les dispositions réglementaires ou d’une dispense prévue par l’art. 111 LATC, la municipalité, lorsqu’elle est saisie d’un projet régulier à la forme, doit le mettre à l’enquête (CDAP AC.2020.0181 du 1 er décembre 2020 consid. 3c et les références citées). d) En l'occurrence, le cabanon projeté, d'une surface de 21.85 m</w:t>
      </w:r>
    </w:p>
    <w:p>
      <w:r>
        <w:rPr>
          <w:b/>
        </w:rPr>
        <w:t>E. 2</w:t>
      </w:r>
    </w:p>
    <w:p>
      <w:r>
        <w:t>Il suit des considérants qui précèdent que le recours doit être rejeté et la décision attaquée confirmée. Le recourant succombant, les frais de justice sont mis à sa charge (art. 49 al. 1, 91 et 99 LPA-VD; art. 4 du tarif des frais judiciaires et des dépens en matière administrative du 28 avril 2015 [TFJDA; BLV 173.36.5.1]); il versera en outre une indemnité à titre de dépens à la commune qui a procédé par l'intermédiaire d'un avocat (cf.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