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AC.2023.0051 vom 11. Januar 2024</w:t>
      </w:r>
    </w:p>
    <w:p>
      <w:r>
        <w:t>VD Tribunal cantonal, 2024-01-11, FR</w:t>
      </w:r>
    </w:p>
    <w:p>
      <w:r>
        <w:rPr>
          <w:b/>
        </w:rPr>
        <w:t xml:space="preserve">Quelle: </w:t>
      </w:r>
      <w:r>
        <w:t>https://mcp.opencaselaw.ch/entscheid/vd_omni_AC.2023.0051</w:t>
      </w:r>
    </w:p>
    <w:p>
      <w:r>
        <w:t>FR: VD_OMNI AC.2023.0051 du 11 janvier 2024</w:t>
      </w:r>
    </w:p>
    <w:p>
      <w:r>
        <w:t>IT: VD_OMNI AC.2023.0051 del 11 gennaio 2024</w:t>
      </w:r>
    </w:p>
    <w:p>
      <w:pPr>
        <w:pStyle w:val="Heading2"/>
      </w:pPr>
      <w:r>
        <w:t>Regeste</w:t>
      </w:r>
    </w:p>
    <w:p>
      <w:r>
        <w:t>A.________, B.________, C.________, D.________/Municipalité de Trélex | Propriétaires ayant prolongé sans droit la dalle d'un étage de mezzanines dans 2 villas. Confirmation par arrêt AC.2020.0078 du refus de la municipalité de régulariser ces travaux au motif que ceux-ci ont rendu ces étages habitables et que la SBP maximale autorisée est dépassée. Décision municipale subséquente ordonnant diverses mesures de remise en état pour rendre lesdits étages inhabitables. La mesure exigeant l'installation en bordure de la surface des mezzanines autorisée d'une cloison fixe d'une hauteur minimale de 1.50 m non translucide, munie d'un portillon d'une largeur de 1 m pour accéder à la surface non autorisée pouvant être utilisée comme dépôt, est proportionnée et peut être confirmée. Confirmation également de la mesure ordonnant la pose de filtres opacifiants sur les fenêtres éclairant la partie non autorisée des étages des mezzanines, aucune autre mesure moins incisive n'existant pour rétablir le caractère inhabitable de ces niveaux. En revanche, la mesure exigeant la pose sur ces mêmes fenêtres de brise-vues s'avère disproprotionnée sous l'angle de l'éclairage, lequel sera déjà suffisamment réduit par les filtres opacifiants. En tant qu'elle aurait également pour objectif - selon la municipalité - de limiter la vue depuis ces étages sur les voisins, cette mesure n'est pas pertinente au regard du but poursuivi par la remise en état, la problématique d'une vue sur le voisinage étant sans incidence sur la question de l'habitabilité. Recours partiellement admis sur ce point.</w:t>
      </w:r>
    </w:p>
    <w:p>
      <w:pPr>
        <w:pStyle w:val="Heading2"/>
      </w:pPr>
      <w:r>
        <w:t>Erwägungen</w:t>
      </w:r>
    </w:p>
    <w:p>
      <w:r>
        <w:rPr>
          <w:b/>
        </w:rPr>
        <w:t>E. 1</w:t>
      </w:r>
    </w:p>
    <w:p>
      <w:r>
        <w:t>Le refus de l'autorité intimée de régulariser les modifications apportées aux étages des mezzanines des villas A et B a été confirmé par la CDAP dans l'arrêt AC.2020.0078, qui est entré en force sans avoir été contesté et qui, partant, ne peut plus être remis en cause dans la présente procédure. L'objet du litige se limite ainsi à l'ordre de remise en état signifié dans la décision attaquée du 11 janvier 2023. Il s'ensuit que les recourants ne sauraient plus invoquer à ce stade le fait que dans chaque villa l'escalier menant à la mezzanine, initialement prévu en quart-tournant, a finalement été réalisé en escalier droit contre le mur, ni le fait que cette circonstance n'a pas été prise en compte lors de l'inspection locale du 17 novembre 2020 pour constater que l'espace initialement autorisé serait plus grand que ce qui a été vu à l'audience. Si tant est que les intéressés entendaient compléter le procès-verbal d'audience sur ce point, il leur aurait appartenu de le faire dans le cadre de la procédure AC.2020.0078 lorsqu'ils en ont eu l'opportunité, respectivement de contester cet arrêt devant l'autorité de recours, ce qu'ils n'ont pas fait.</w:t>
      </w:r>
    </w:p>
    <w:p>
      <w:r>
        <w:rPr>
          <w:b/>
        </w:rPr>
        <w:t>E. 2</w:t>
      </w:r>
    </w:p>
    <w:p>
      <w:r>
        <w:t>a) aa) Selon l'art. 105 al. 1 de la loi du 4 décembre 1985 sur l'aménagement du territoire et les constructions (LATC; BLV 700.11), la municipalité est en droit de faire suspendre et, le cas échéant, supprimer ou modifier, aux frais du propriétaire, tous travaux qui ne sont pas conformes aux prescriptions légales et règlementaires. La municipalité n'a pas un pouvoir discrétionnaire d'ordonner ou non la remise en état: quand les conditions de l'art. 105 LATC sont remplies, elle a l'obligation de le faire (CDAP AC.2021.0306 du 1 er novembre 2022 consid. 3a/bb; AC.2021.0138 du 28 octobre 2022 consid. 10a). bb) Lorsqu'une construction déjà réalisée contrevient aux règles légales et ne peut par conséquent être autorisée a posteriori , cela ne signifie pas encore qu'elle ne peut être utilisée, ni que l'état antérieur doit nécessairement être rétabli. Il convient à ce stade d'examiner la situation au regard des principes généraux du droit administratif, en particulier les principes de la proportionnalité et de la protection de la bonne foi. Le principe de la proportionnalité exige qu'une mesure restrictive soit apte à produire les résultats escomptés (règle de l'aptitude) et que ceux-ci ne puissent être atteints par des mesures moins incisives (règle de la nécessité); en outre, il interdit toute limitation allant au-delà du but visé et exige un rapport raisonnable entre ce but et les intérêts publics ou privés compromis (principe de la proportionnalité au sens étroit (ATF 142 I 76 consid. 3.5.1; 140 I 68 consid. 4.2.1). D’après la jurisprudence, l'ordre de démolir une construction édifiée sans droit et pour laquelle une autorisation ne peut être accordée n'est en soit pas contraire au principe de la proportionnalité. Celui qui place l'autorité devant un fait accompli doit s'attendre à ce qu'elle se préoccupe davantage de rétablir une situation conforme au droit que d'éviter les inconvénients qui en découlent pour lui (cf. ATF 123 II 248 consid. 4a; 111 Ib 213 consid. 6). Les mesures de remise en état doivent toutefois être strictement limitées à ce qui est nécessaire pour atteindre le but recherché. L'autorité doit en effet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136 II 359 consid. 7.1; 123 II 248 consid. 4b; TF 1C_6/2021 du 17 août 2021 consid. 3.1). Même un constructeur qui n'est pas de bonne foi peut invoquer le principe de proportionnalité (TF 1C_6/2021 précité consid. 3.1; CDAP AC.2022.0232 du 14 mars 2023 consid. 3b). Dans le cadre d’un ordre de remise en état, le Tribunal fédéral a encore précisé que l’autorité de recours doit rechercher d’office quelles mesures sont, d’une part, nécessaires et propres à atteindre l’objectif absolument indispensable et, d’autre part, celles qui ne sont pas trop incisives (cf. ATF 107 Ia 19 consid. 3b). Le concours de l’administré est requis, afin qu’il présente lui-même des propositions au sujet des mesures à ordonner. Toutefois, si les propositions émises sont inadéquates ou si l’administré n’en a pas fourni, l’autorité de recours est tenue de choisir, parmi les différentes mesures possibles, celles qui sont conformes au principe de la proportionnalité, respectivement de rechercher, en procédure de recours, si une mesure moins incisive n’aurait pas aussi permis d’atteindre l’objectif visé (cf. ATF 123 II 248; 111 Ib 213). Le tribunal est ainsi amené à rechercher quelle mesure serait, en l’espèce, la moins incisive afin de rétablir une situation réglementaire, à savoir celle qui prévalait avant la construction de l’ouvrage litigieux (CDAP AC.2022.0257 du 26 juin 2023 consid. 7a; AC.2021.0138 précité consid. 10a; AC.2021.0180 du 14 avril 2022 consid. 7a/bb). b) En l'espèce, il y a lieu de constater qu'en prolongeant sans autorisation la dalle de l'étage des mezzanines dans les villas A et B, les recourants, respectivement leur architecte ont placé l'autorité intimée devant le fait accompli, quoi qu'ils en disent. Si l’architecte des recourants a certes annoncé en juillet 2018 à la commune qu’il envisageait d’agrandir les mezzanines des villas A et B et qu’il a transmis le 7 août 2018 un dossier d’exécution à l’autorité intimée, il n’en reste pas moins qu’il n’a pas attendu l’autorisation expresse de l’autorité compétente pour procéder à ces modifications. En tout état de cause, il ne pouvait pas considérer le silence (éventuel) de l’autorité intimée comme une acceptation tacite des changements envisagés. L’autorité intimée lui a d’ailleurs expressément indiqué par courrier électronique du 18 septembre 2018 la nécessité de procéder à une enquête publique complémentaire. Le fait que ce courriel se serait " perdu " dans la boîte de messagerie de l’architecte résulte à cet égard d’un problème d’organisation de celui-ci, qui est imputable aux recourants. La bonne foi de ces derniers ne saurait ainsi être retenue et il n'y a partant aucun motif de déroger au principe selon lequel ils devaient s'attendre à ce que l'autorité intimée se préoccupe davantage de rétablir une situation conforme au droit que de leur éviter des inconvénients (cf. consid. 2a/bb ci-dessus). Pour ce qui est de la pesée des intérêts en présence, on relève que la dérogation à la règle n’apparaît pas mineure puisqu’elle concerne un dépassement important de la surface brute utile de plancher admissible. Or, les prescriptions en matière d’IUS , lesquelles ont pour but essentiel de limiter la densité des habitations sur chaque parcelle, revêtent des fonctions importantes d'aménagement du territoire et d'urbanisme, dès lors que la limitation de la densité des constructions influe inévitablement sur la trame et la forme urbaine d'un quartier donné, et permet aussi de définir ou de maintenir les caractéristiques du tissu bâti. Il s'agit là d'un intérêt public important qui l'emporte sur l'intérêt privé des recourants au maintien des surfaces habitables excédentaires (cf. en ce sens CDAP AC.2022.0257 précité consid. 7c; AC.2018.0096 du 18 mars 2019 consid. 5b), cela d'autant plus que l’agrandissement de l’étage des mezzanines dans les villas A et B ne semble justifié par aucune circonstance objective mais paraît au contraire relever de motifs de pure convenance. Partant, il convient de confirmer, sur le principe, l’ordre de remise en état, ce que les recourants ne contestent pas, proposant eux-mêmes diverses mesures. c) S’il est admis que les étages des mezzanines dans les villas A et B ne peuvent être maintenus dans leur configuration actuelle pour les motifs exposés ci-dessus, il s’impose néanmoins d’examiner, conformément à la jurisprudence et sous l’angle de la proportionnalité, si une autre solution moins incisive que celle préconisée par l’autorité intimée pourrait être envisagée tout en permettant d’atteindre le but recherché, soit garantir l’inhabitabilité des étages des mezzanines. aa) L'ordre de remise en état contenu dans la décision attaquée exige deux mesures pour assurer le caractère inhabitable des mezzanines. Il s'agit en premier lieu de l'installation, en bordure de la surface des mezzanines telles qu'admises en 2015, d'une cloison fixe d'une hauteur minimale de 1.50 m, non translucide, qui pourra comprendre un portillon d'une largeur maximale de 1 m pour accéder à la surface non autorisée pouvant être utilisée comme dépôt. En second lieu, l'autorité intimée exige la pose, sur les fenêtres aménagées au Sud/Sud-Est à l'étage des mezzanines, de filtres opacifiants et de brise-vues dont les lamelles doivent être orientées vers le haut, de manière à ce que la surface concernée soit peu éclairée et qu'il ne soit pas possible d'observer le voisinage. bb) Les recourants soutiennent que ces mesures vont au-delà de ce qui est nécessaire pour assurer le caractère inhabitable des mezzanines. S'ils admettent le principe de devoir délimiter la surface autorisée des mezzanines par l'installation d'une cloison, ils estiment en revanche inutile et arbitraire d'exiger que celle-ci soit constituée de matériaux non translucides, en relevant d'une part que le caractère habitable d'une pièce ne dépend pas de la transparence ou de l'opacité d'un de ses côtés, d'autre part que le projet autorisé en 2015 validait un certain éclairage de l'étage des mezzanines. Pour ce qui est de la hauteur de cette cloison, ils ont tout d'abord conclu dans leur recours à ce que celle-ci s'élève à 1.50 m (soit la hauteur minimale exigée par l'autorité intimée), mais ont ensuite fait valoir dans leurs observations complémentaires qu'une hauteur de 1.10 m suffirait pour considérer que la cloison ne sera pas aisément franchissable, en expliquant que cette hauteur correspond à celle du garde-corps de l'escalier et qu'une hauteur supérieure créerait une " esthétique incohérente et hideuse ". Ils qualifient également d'inutile et de disproportionnée l'exigence d’installer des brise-vues et des filtres opacifiants sur les fenêtres au Sud, en indiquant que le fait que les mezzanines bénéficient ou non d'un large éclairage est sans pertinence dans la mesure où c'est uniquement en raison de l’augmentation de leur surface qu'elles ont été qualifiées d’habitables, seul aspect sur lequel il y aurait lieu d'agir. Ils se plaignent également du fait qu'une telle mesure influerait aussi sur l'éclairage de la surface des mezzanines autorisée. Ils ajoutent qu'on ne verrait pas en quoi l'opacification des fenêtres rendrait les mezzanines conformes. Finalement, ils allèguent que si des brise-vues devaient tout de même être exigés, il n'y aurait aucun sens à ce que leurs lamelles soient orientées vers le haut, puisque cela favoriserait la projection d'eau sur les fenêtres, qui devraient être plus fréquemment nettoyées, de même que cela permettrait à la lumière du soleil d'entrer plus facilement, alors que cette mesure est censée limiter l'éclairage de l'étage des mezzanines. Soulignant que le projet autorisé en 2015 permettait déjà d'apercevoir les voisins depuis les mezzanines, ils font valoir que le voisinage ne dispose de toute manière d'aucun droit à ne pas être vu. L'autorité intimée indique que la démolition de la partie de la dalle des mezzanines ajoutée sans droit aurait constitué la mesure la plus incisive envisageable, mais que, soucieuse de respecter le principe de proportionnalité, elle a opté pour une autre solution s'inspirant des propositions émises à l'audience du 17 novembre 2020 ainsi que par les recourants. Elle estime avoir été très modérée dans le choix de la mesure ordonnée par rapport à celle suggérée à l'audience, consistant à poser un galandage opaque jusqu'en toiture avec uniquement le percement d’une fenêtre. Elle expose que l'ordre que la cloison soit réalisée dans un matériau non translucide présente un intérêt évident dans la mesure où une réduction de la luminosité dans les mezzanines s'avère indispensable pour diminuer le caractère habitable de l’étage agrandi sans droit. Elle ajoute que la seconde mesure nécessaire pour assurer le caractère inhabitable des mezzanines, qui consiste à munir les fenêtres au Sud de filtres opacifiants et de brise-vues avec lamelles orientées vers le bas, a pour double objectif que la surface concernée soit peu éclairée et qu'il soit impossible d'observer le voisinage. Quant au fait que les mesures d'obscurcissement influeront aussi sur la partie autorisée des mezzanines, elle relève avoir écarté l'option d'un galandage opaque jusqu'en toiture, qui aurait engendré un obscurcissement total de la surface admise des mezzanines. d) En l'occurrence, la première des mesures ordonnées par l'autorité intimée consistant à installer une cloison en bordure de la partie autorisée de la mezzanine répond à l'objectif poursuivi par la remise en état, à savoir garantir l'inhabitabilité de l'étage des mezzanines dans les villas A et B. Cet aménagement permet en effet de délimiter clairement la surface de la mezzanine initialement autorisée par rapport à la partie de la dalle prolongée sans droit. A cet égard, le fait pour l'autorité intimée d'avoir exigé que cette cloison présente une hauteur minimale de 1.50 m et qu'elle soit réalisée dans des matériaux opaques ne prête pas le flanc à la critique et respecte le principe de proportionnalité. Une telle configuration permet de démarquer distinctement les deux espaces au plan visuel, objectif qui ne pourrait pas être atteint à satisfaction avec l'utilisation de matériaux translucides, comme un vitrage par exemple. La hauteur de 1.50 m correspond du reste à celle que les recourants avaient eux-mêmes proposée dans le cadre de leurs échanges avec l'autorité intimée (cf. plans joints à leur courrier du 7 avril 2022) et qu'ils ont expressément reprise dans les conclusions de leur recours. Une cloison d'une hauteur de 1.10 m comme suggérée dans leurs observations complémentaires apparaît en tous les cas insuffisante pour remplir l'objectif visé, étant souligné que le motif d'ordre esthétique invoqué, à savoir une uniformité avec la hauteur du garde-corps de l'escalier, n’est pas convaincant. On rappelle que la partie non autorisée des mezzanines demeurera de toute manière accessible, l'autorité intimée ayant admis que puisse être intégré dans la cloison un portillon d'une largeur maximale de 1 m, permettant l'utilisation de cette surface à titre de dépôt (cf. décision attaquée). e) Afin de garantir l'inhabitabilité de l'étage des mezzanines, il apparaît également admissible d'agir sur l'éclairage de la surface agrandie sans droit, quoi qu'en disent les recourants. Il convient en effet de garder à l'esprit que l'autorité intimée a renoncé à exiger la démolition de la partie de la dalle prolongée sans autorisation, tenant ainsi compte des préoccupations des intéressés qui avaient indiqué qu'une telle mesure aurait de très lourdes conséquences pour eux (cf. p.-v. d'audience du 17 novembre 2020). De même, elle a renoncé à ordonner un galandage plein jusqu'en toiture qui aurait eu pour effet de condamner toute utilisation de cette partie de l'étage. Dans ces conditions, il s'avère à tout le moins nécessaire, pour parvenir au but d'intérêt public recherché, de diminuer dans une mesure suffisante l'éclairage qui serait susceptible de permettre l'usage de cette surface litigieuse à des fins d'habitation. A cet égard, la mesure complémentaire ordonnée par l'autorité intimée tendant à poser des filtres opacifiants sur la partie des fenêtres au Sud éclairant l'étage des mezzanines dans les villas A et B apparaît proportionnée et peut être confirmée. On ne voit en effet pas quelle autre mesure moins incisive aurait pu être prononcée pour obtenir le rétablissement d'une situation conforme au droit. La réduction significative de la luminosité qui en découlera aura pour conséquence que les surfaces non autorisées par le permis de construire, situées directement derrière ces fenêtres, ne seront plus suffisamment éclairées pour être utilisées à des fins d'habitation, au regard des exigences de l'art. 28 al. 1 du règlement d'application de la LATC du 19 septembre 1986 (RLATC; BLV 700.11.1), ce qui permettra de rétablir le caractère inhabitable du niveau en question et, par conséquent, l’absence de prise en considération de ce niveau dans le calcul de l’IUS. Vu la configuration de l'étage et l'emplacement des fenêtres, il est vrai que ce dispositif entrainera des conséquences sur l'éclairage de la partie autorisée des mezzanines, lequel sera moins favorable que celui résultant du projet tel qu'admis en 2015, comme s'en plaignent les recourants. Il s'agit là cependant d'un inconvénient que devront supporter ces derniers, qui n'ont précisément pas réalisé les travaux tels que prévus par le permis qui leur a été octroyé en 2015 et qui n'entendent pas démolir la partie de la dalle agrandie sans droit. La partie autorisée des mezzanines continuera quoi qu'il en soit à bénéficier d'une lumière suffisante dans le cadre de son usage à titre de surface non habitable grâce à la fenêtre située en façade Nord de l'étage des mezzanines dans chacune des villas. Elle profitera également, dans une moindre mesure, de la lumière qui pourra encore passer au-dessus de la cloison à installer, qui ne s'élèvera pas jusqu'au plafond. f) Pour ce qui est de la dernière mesure ordonnée dans la décision attaquée, consistant à installer des brise-vues sur ces mêmes fenêtres au Sud, celle-ci ne saurait en revanche être confirmée. Une telle exigence s'avère en effet disproportionnée sous l'angle de la nécessité et de la proportionnalité au sens étroit pour ce qui concerne la question de l'éclairage, lequel sera de fait déjà suffisamment réduit par la pose de filtres opacifiants. De surcroît, en tant qu'elle aurait pour objectif – selon l'autorité intimée – de limiter la vue depuis l'étage des mezzanines en direction des voisins, cette mesure n'apparaît pas pertinente au regard du but poursuivi par la remise en état, la problématique d'une vue sur le voisinage étant sans incidence sur la question de l'habitabilité d'une pièce et, par conséquent, sa prise en compte dans l’IUS. Il convient partant d'admettre le recours sur ce point et d'annuler la décision querellée en tant qu'elle exige la pose de brise-vues sur la partie des fenêtres au Sud éclairant l'étage des mezzanines dans les villas A et B. g) Pour le reste, les mesures de remise en état qui devront être mises en œuvre à l'étage des mezzanines dans les villas A et B (installation d'une cloison opaque de 1.50 m de hauteur avec portillon, pose de filtres opacifiants sur les fenêtres au Sud) n'impliqueront pas de travaux importants et n'occasionneront ainsi pas de frais excessifs aux recourants, si bien que la décision attaquée s'avère sous cet angle conforme au principe de la proportionnalité, ce que les intéressés ne contestent au demeurant pas. h) A juste titre, les recourants ne remettent pas non plus en cause le délai de quatre mois imparti par la décision entreprise pour procéder à cette remise en état, lequel apparaît suffisant pour mener à bien les mesures confirmées ci-dessus. Ce délai étant aujourd'hui échu, il appartiendra à l'autorité intimée d'en fixer un nouveau aux recourants.</w:t>
      </w:r>
    </w:p>
    <w:p>
      <w:r>
        <w:rPr>
          <w:b/>
        </w:rPr>
        <w:t>E. 3</w:t>
      </w:r>
    </w:p>
    <w:p>
      <w:r>
        <w:t>Il résulte des considérants qui précèdent que le recours doit être partiellement admis et que la décision attaquée doit être annulée en tant qu'elle exige la pose de brise-vues sur les fenêtres aménagées du côté Sud/Sud-Est à l'étage des mezzanines des villas A et B. Pour le reste, cette décision est confirmée. Vu le sort du recours, les frais judiciaires seront mis principalement à la charge des recourants et partiellement à la charge de la Commune de Trélex (art. 49 de la loi du 28 octobre 2008 sur la procédure administrative [LPA-VD; BLV 173.36]). Les recourants verseront en outre des dépens, légèrement réduits pour tenir compte de ce qui précède, à la Commune de Trélex qui a procédé par l'intermédiaire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