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AC.2023.0037 vom 23. November 2023</w:t>
      </w:r>
    </w:p>
    <w:p>
      <w:r>
        <w:t>VD Tribunal cantonal, 2023-11-23, FR</w:t>
      </w:r>
    </w:p>
    <w:p>
      <w:r>
        <w:rPr>
          <w:b/>
        </w:rPr>
        <w:t xml:space="preserve">Quelle: </w:t>
      </w:r>
      <w:r>
        <w:t>https://mcp.opencaselaw.ch/entscheid/vd_omni_AC.2023.0037</w:t>
      </w:r>
    </w:p>
    <w:p>
      <w:r>
        <w:t>FR: VD_OMNI AC.2023.0037 du 23 novembre 2023</w:t>
      </w:r>
    </w:p>
    <w:p>
      <w:r>
        <w:t>IT: VD_OMNI AC.2023.0037 del 23 novembre 2023</w:t>
      </w:r>
    </w:p>
    <w:p>
      <w:pPr>
        <w:pStyle w:val="Heading2"/>
      </w:pPr>
      <w:r>
        <w:t>Regeste</w:t>
      </w:r>
    </w:p>
    <w:p>
      <w:r>
        <w:t>A.________/Municipalité de Villeneuve | Confirmation de l'ordre de démolition portant sur un couvert à voitures d'une surface bâtie de plus de 170 m2, maintenu en violation du permis de construire octroyé pour la parcelle en cause, et qui contrevient à la réglementation communale sur le coefficient d'occupation du sol (COS).</w:t>
      </w:r>
    </w:p>
    <w:p>
      <w:pPr>
        <w:pStyle w:val="Heading2"/>
      </w:pPr>
      <w:r>
        <w:t>Erwägungen</w:t>
      </w:r>
    </w:p>
    <w:p>
      <w:r>
        <w:rPr>
          <w:b/>
        </w:rPr>
        <w:t>E. 1</w:t>
      </w:r>
    </w:p>
    <w:p>
      <w:r>
        <w:t>La décision par laquelle une municipalité ordonne le rétablissement d'une situation conforme au droit peut faire l'objet d'un recours de droit administratif auprès du Tribunal cantonal au sens des art. 92 ss de la loi du 28 octobre 2008 sur la procédure administrative (LPA-VD; BLV 173.36). Le recours, déposé en temps utile (cf. art. 95 LPA-VD) par une personne ayant manifestement la qualité pour recourir (art. 75 let. a LPA-VD), respecte en outre les autres conditions formelles de recevabilité (en particulier art. 79 LPA-VD, par renvoi de l'art. 99 LPA-VD). Il y a donc lieu d'entrer en matière sur le fond, étant précisé que vu les conclusions principales du recours, l'objet du litige est limité au sort du couvert situé entre les bâtiments n os 759 et 326</w:t>
      </w:r>
    </w:p>
    <w:p>
      <w:r>
        <w:rPr>
          <w:b/>
        </w:rPr>
        <w:t>E. 2</w:t>
      </w:r>
    </w:p>
    <w:p>
      <w:r>
        <w:t>, excède largement le 1/6 (0,167) de la surface totale de la parcelle n o 2376 (600 : 2'551 = 0,235). Sous l'angle de l'indice d'occupation du sol, la situation de la parcelle n o 2376 n'est manifestement pas conforme au droit communal. D'ailleurs, vu le dépassement important du COS, une régularisation, par la conservation de l'ouvrage, semble d'emblée exclue. c) Quoi qu'en pense la recourante, l'examen du dossier de la demande de permis de construire ne permet pas de démontrer que le permis de construire prévoyait autre chose que la démolition du couvert à voitures litigieux. Ni le formulaire de demande, ni le plan intitulé " Calcul du COS " ne tiennent compte du couvert dans la détermination de cet indice; or, la recourante (ou son architecte) ne pouvait ignorer que la construction du nouveau bâtiment nécessitait la démolition simultanée d'autres ouvrages tels que le couvert litigieux. Ainsi, elle ne peut déduire du fait que ses propres calculs n'intègrent pas la surface bâtie du couvert – en violation du droit communal – que le projet autorisé prévoyait le maintien du couvert. La recourante ne peut pas davantage tirer argument du plan de situation établi par le géomètre officiel. Conformément à l'art. 69 al. 1 ch. 9 RLATC, ce plan figure en jaune les bâtiments voués à la démolition, et en rouge l'ouvrage projeté. La surface du bâtiment ECA n o 759 ainsi que celle de la véranda aménagée sur la dalle accolée au bâtiment n o 326 ont une teinte jaune. Un traitillé jaune délimite le pourtour de la dalle, qui a été démolie dans le cadre du projet. Le même traitillé jaune relie ensuite, de manière discontinue, les bâtiments ECA n os 759 et 326: selon la municipalité, une telle indication, dont le tracé coïncide avec l'extrémité est du couvert à voitures, signifie que ce dernier devait être démoli dans le cadre du projet. Cette explication paraît convaincante. On ne voit en effet pas quelle autre portée pourrait avoir ce traitillé jaune, et la recourante, qui a elle-même versé ce plan au dossier d'enquête publique, ne fournit aucune explication à ce sujet. d) Dès lors que l'octroi du permis de construire impliquait la démolition du couvert, il n'est pas disproportionné d'exiger l'exécution de cette partie de la décision, puisqu'il s'agit d'une opération que la constructrice avait planifiée dans le coût global de l'ouvrage. En d'autres termes, cette décision ne viole pas les normes du droit cantonal concernant la remise en état. e) La recourante se plaint encore d'une violation du principe de la bonne foi, en faisant valoir que les autorités communales ont toujours considéré que le couvert litigieux ne constituait pas de la surface bâtie déterminante pour le COS. Elle invoque notamment les art. 5 al. 3 et 9 de la Constitution fédérale du 18 avril 1999 (Cst.; RS 101), qui prescrivent aux organes de l'Etat d'agir de manière conforme aux règles de la bonne foi. La seule question décisive, en l'espèce, est celle de savoir si l'ordre de remise en état va à l'encontre d'assurances formelles qui auraient été données à la recourante que le rétablissement de l'état de droit ne serait pas exigé de sa part (cf. notamment ATF 146 I 105 consid. 5.1). Tel n'est pas le cas. Manifestement, au vu du maintien illégal du couvert à voitures, en violation du permis de construire délivré, c'est à bon droit que la municipalité a considéré qu'elle devait prononcer un ordre de démolition. On ne voit pas en quoi cela serait contraire au droit à la protection  de la bonne foi.</w:t>
      </w:r>
    </w:p>
    <w:p>
      <w:r>
        <w:rPr>
          <w:b/>
        </w:rPr>
        <w:t>E. 3</w:t>
      </w:r>
    </w:p>
    <w:p>
      <w:r>
        <w:t>Le considérant qui précède conduit au rejet du recours, mal fondé, et à la confirmation de la décision attaquée. Un nouveau délai au 30 avril 2024 est imparti à la recourante pour procéder à la démolition du couvert à voitures reliant les bâtiments ECA n os 326 et 759, sur la parcelle n o 2376 du registre foncier, sur le territoire de la commune de Villeneuve. Un émolument judiciaire est mis à la charge de la recourante, qui succombe (art. 49 LPA-VD). La recourante supportera également une indemnité de dépens en faveur de la commune de Villeneuve,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