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AC.2023.0017 vom 21. Juni 2023</w:t>
      </w:r>
    </w:p>
    <w:p>
      <w:r>
        <w:t>VD Tribunal cantonal, 2023-06-21, FR</w:t>
      </w:r>
    </w:p>
    <w:p>
      <w:r>
        <w:rPr>
          <w:b/>
        </w:rPr>
        <w:t xml:space="preserve">Quelle: </w:t>
      </w:r>
      <w:r>
        <w:t>https://mcp.opencaselaw.ch/entscheid/vd_omni_AC.2023.0017</w:t>
      </w:r>
    </w:p>
    <w:p>
      <w:r>
        <w:t>FR: VD_OMNI AC.2023.0017 du 21 juin 2023</w:t>
      </w:r>
    </w:p>
    <w:p>
      <w:r>
        <w:t>IT: VD_OMNI AC.2023.0017 del 21 giugno 2023</w:t>
      </w:r>
    </w:p>
    <w:p>
      <w:pPr>
        <w:pStyle w:val="Heading2"/>
      </w:pPr>
      <w:r>
        <w:t>Regeste</w:t>
      </w:r>
    </w:p>
    <w:p>
      <w:r>
        <w:t>A.________, B.________/Municipalité d'Echandens, C.________, D.________ | Recours contre l'interdiction d'exercer une activité artisanale dans un garage aménagé au sous-sol d'une villa. Même s'il n'a pas nécessité de travaux de construction, le réaménagement du garage pour l'exercice d'une activité artisanale constitue un changement d'affectation qui doit être formellement autorisé. Le recourant était donc tenu de déposer une demande de régularisation comme la municipalité le lui avait demandé. Pas d'atteinte au principe de proportionnalité ou à la garantie de la propriété. Recours rejeté.</w:t>
      </w:r>
    </w:p>
    <w:p>
      <w:pPr>
        <w:pStyle w:val="Heading2"/>
      </w:pPr>
      <w:r>
        <w:t>Erwägungen</w:t>
      </w:r>
    </w:p>
    <w:p>
      <w:r>
        <w:rPr>
          <w:b/>
        </w:rPr>
        <w:t>E. 1</w:t>
      </w:r>
    </w:p>
    <w:p>
      <w:r>
        <w:t>Déposé dans le délai de 30 jours prévu par l'art. 95 de la loi vaudoise du 28 octobre 2008 sur la procédure administrative (LPA-VD; BLV 173.36), le recours est intervenu en temps utile compte tenu des féries d'été qui impliquent que les délais fixés en jours ne courent pas du 15 juillet au 15 août inclusivement (cf. art. 96 al. 1 let. b LPA-VD). Il respecte en outre les conditions formelles de recevabilité énoncées à l'art. 79 LPA-VD (applicable par renvoi de l'art. 99 LPA-VD). Il y a donc lieu d’entrer en matière sur le fond.</w:t>
      </w:r>
    </w:p>
    <w:p>
      <w:r>
        <w:rPr>
          <w:b/>
        </w:rPr>
        <w:t>E. 2</w:t>
      </w:r>
    </w:p>
    <w:p>
      <w:r>
        <w:t>La décision attaquée interdit au recourant de poursuivre son activité artisanale de travail sur le bois dans son garage et ordonne la suppression des installations fixes liées à cette activité, de façon à ce que le garage soit utilisé conformément à son affectation, pour le stationnement de véhicules. L'autorité intimée a fondé son appréciation sur le constat que l'activité litigieuse n'a pas été formellement autorisée et qu'elle n'est pas conforme à la zone de villas.</w:t>
      </w:r>
    </w:p>
    <w:p>
      <w:r>
        <w:rPr>
          <w:b/>
        </w:rPr>
        <w:t>E. 3</w:t>
      </w:r>
    </w:p>
    <w:p>
      <w:r>
        <w:t>Se fondant sur une interprétation littérale de l'art. 78 RPGA, les recourants font valoir que le simple fait que les conditions énoncées par cette disposition soient réalisées suffit pour que l'activité artisanale en cause soit autorisée dans la zone de villas. Ils relèvent aussi qu'ils n'ont pas effectué de travaux au sens de l'art. 103 al. 1 de la loi vaudoise du 4 décembre 1985 sur l’aménagement du territoire et les constructions (LATC; BLV 700.11). La délivrance d'une autorisation formelle ne serait pas nécessaire et la décision entreprise, qui interdit la poursuite de l'activité du recourant du fait qu'elle n'a pas été autorisée par la municipalité, serait contraire aux art. 78 RPGA et 103 al. 1 LATC, ainsi qu'à la garantie de la propriété. Les recourants font grief à l'autorité intimée d'avoir constaté les faits de façon inexacte et arbitraire en retenant que le travail du recourant est gênant pour le voisinage. Ils lui reprochent d'avoir fondé son appréciation sur les déclarations des tiers intéressés, sans recueillir le point de vue des autres habitants du quartier et sans aller sur place pour se rendre compte de l'absence de nuisances. Les recourants soutiennent que l'activité artisanale litigieuse ne génère aucun bruit lorsqu'elle est exercée avec la porte du garage fermée et que le bruit perceptible depuis l'extérieur est inférieur à celui d'une conversation normale avec la porte du garage ouverte. Ils produisent une dizaine de témoignages de voisins confirmant l'inexistence de désagréments sonores. a) A teneur de l'art. 22 al. 1 de la loi fédérale du 22 juin 1979 sur l'aménagement du territoire (LAT; RS 700), aucune construction ou installation ne peut être créée ou transformée sans autorisation de l'autorité compétente. L'art. 103 al. 1 LATC reprend ce principe et soumet à autorisation tout travail de construction en surface ou en sous-sol, modifiant de manière sensible la configuration, l'apparence ou l'affectation d'un terrain ou d'un bâtiment. L’art. 68 al. 1 let. b du règlement du 19 septembre 1986 d'application de la LATC (RLATC; BLV 700.11.1) précise que le changement de destination de constructions existantes est subordonné à l'autorisation de la municipalité. Sur le plan communal, enfin, l'art. 123 RPGA prévoit, à son chiffre 5, que les transformations apportant un changement à l'aspect extérieur d'un bâtiment, à son affectation et à son organisation intérieure sont subordonnées à une autorisation préalable de la municipalité et, le cas échéant, de l'autorité cantonale et fédérale. Selon la jurisprudence, un changement d'affectation, même lorsqu'il ne nécessite pas de travaux de construction, reste en principe soumis à l'octroi d'un permis de construire. En l'absence de travaux, la modification du but de l'utilisation (Zweckänderung) peut cependant être dispensée d'autorisation de construire si la nouvelle affectation est conforme à celle de la zone en question ou si son incidence sur l'environnement et la planification est manifestement mineure. Si les effets engendrés par la nouvelle utilisation se révèlent plus importants que précédemment, une autorisation de construire est en revanche requise; il en va en particulier ainsi en cas d'augmentation significative des immissions (ATF 139 II 134 consid. 5.2; 113 Ib 219 consid. 4d; TF 1C_2/2021 du 3 décembre 2021 consid. 3.1; 1C_638/2020 du 17 juin 2021 consid. 3.1; 1C_107/2016 du 28 juillet 2016 consid. 6.1). Pour déterminer si une mesure constructive est suffisamment importante pour être soumise à la procédure d'autorisation, il faut se demander si, en général, d'après le cours ordinaire des choses, la réalisation du projet entraînera sur le territoire, l'équipement et l'environnement des conséquences si importantes qu'il existe un intérêt de la collectivité ou des voisins à un contrôle préalable (TF 1C_79/2022 du 30 septembre 2022 consid. 5.1). De jurisprudence constante, il n'y a pas lieu de donner une interprétation extensive de la notion de changement d'affectation, qui doit rester limitée aux cas où l'on est en présence d'un changement fondamental parce qu'une catégorie donnée d'affectation (par exemple l'habitation) est totalement abandonnée au profit d'une autre (par exemple l'activité artisanale). Il faut être particulièrement attentif à ne pas étendre le champ d'application du permis de construire (autorisant un changement d'affectation) lorsque des travaux ne sont pas en cause: vu la garantie de la liberté individuelle, le permis de construire ne doit pas devenir un moyen de contrôle systématique sur la présence et l'activité des personnes ou sur l'utilisation des biens dans les constructions existantes (RDAF 2000 I, p. 244; RDAF 2001 I, p. 248; CDAP AC.2020.0032, AC.2021.0226 du 14 juin 2022 consid. 4b/bb; AC.2021.0107 du 3 mars 2022 consid. 5c). En l'absence de travaux, on ne se trouve ainsi en présence d'un changement d'affectation soumis à autorisation qu'en cas de changement significatif du point de vue de la planification ou du point de vue de l'environnement (ATF 119 Ib 222 consid. 3a; 113 Ib 219 consid. 4d; voir en outre CDAP AC.2020.0032, AC.2021.0226 précité consid. 4b/bb; AC.2021.0107 précité consid. 5c). b) Il n'est pas contesté, en l'espèce, que l'utilisation du garage sis sur la parcelle n° 829 pour l'exercice d'une activité artisanale constitue un changement d'affectation de ce local, qui était précédemment destiné au stationnement de véhicules. Les recourants font en revanche valoir que le simple fait que les conditions de l'art. 78 RPGA soient réalisées suffit pour que ladite activité soit autorisée. Le réaménagement du garage en atelier n'a pas nécessité de travaux de construction au sens de l'art. 103 al. 1 LATC, mais seulement l'installation d'un tour à bois et de quelques autres outils. La jurisprudence admet que la modification de l'affectation d'une construction soit dispensée d'autorisation de construire en l'absence de travaux, si la nouvelle activité est conforme à la zone concernée et que le changement n'entraîne pas d'incidence sur l'environnement (cf. TF 1C_107/2016 précité consid. 6.2). Pour être conformes à la zone de villas, au sens de l'art. 78 RPGA, les activités artisanales doivent être exercées par les habitants des villas et ne pas être gênantes pour le voisinage. Or, depuis le mois de septembre 2021, les tiers intéressés se sont plaints à plusieurs reprises du bruit causé par les machines utilisées pour travailler le bois sur la parcelle n° 829. Le 25 novembre 2021, la municipalité a informé le recourant qu'elle considérait que son activité générait des nuisances pour les voisins. Elle l'a invité à faire le nécessaire pour respecter l'art. 78 RPGA ou à trouver un local approprié en zone artisanale. La situation n'a pas évolué dans les mois qui ont suivi, si bien que la municipalité a imparti au recourant un délai au 31 août 2022 pour indiquer la solution envisagée pour régulariser la situation. Pour toute réponse, l'intéressé a fait savoir qu'il ne prévoyait pas de mettre un terme à son "activité de bricolage", dont les autorités avaient pu prendre connaissance dans le cade de l'inscription de son entreprise individuelle au registre du commerce, ni de prendre des mesures pour diminuer les nuisances sonores, qu'il jugeait admissibles. Il a seulement consenti à ne pas travailler pendant la pause de midi au cours de la semaine, ainsi que le samedi. Considérant son refus d'entamer une procédure tendant à la régularisation du changement d'affectation mis en cause, et après lui avoir donné la possibilité de s'exprimer une dernière fois, la municipalité a interdit au recourant de poursuivre son activité et lui a ordonné d'utiliser son garage pour le stationnement de véhicules uniquement. c) La décision querellée se fonde sur des faits établis grâce aux explications concordantes des parties qui s'opposent, à savoir que le recourant utilise, tout au long de la semaine, dans son garage, des outils dont les immissions sonores affectent les tiers intéressés, qui habitent sur la parcelle n° 874 située à une quinzaine de mètres de l'autre côté du chemin du Jura (cf. guichet cartographique cantonal, https://www.geo.vd.ch). Ces éléments ressortent aussi de l'acte de recours, dans lequel le recourant explique qu'il travaille dans son garage du lundi au vendredi, de 9h00 à 12h00 et de 13h00 à 17h00, en utilisant un tour à bois la majeure partie du temps, une tronçonneuse une fois par mois environ, et une scie électrique ou un compresseur à air deux à trois fois par semaine pendant cinq minutes, et que la porte du garage reste régulièrement ouverte quand la météo le permet. L'autorité intimée a informé le recourant des plaintes dont il faisait l'objet. Elle lui a indiqué, à plusieurs occasions, que son activité n'était pas conforme à l'art. 78 RPGA et qu'il lui incombait de régulariser le changement d'affectation du garage. Le recourant n'a jamais contesté l'existence des nuisances reprochées. Il a seulement fait valoir que les valeurs sonores entrant en ligne de compte étaient basses et devaient par conséquent être considérées comme admissibles. Dans ces circonstances, et malgré la dizaine d'attestations de voisins produite à l'appui du recours, les critiques du recourant selon lesquelles la municipalité se serait basée sur les seules déclarations des tiers intéressés pour rendre sa décision tombent à faux. Le grief de constatation inexacte et arbitraire des faits est par conséquent rejeté. d) Il découle de ce qui précède que l'activité artisanale du recourant occasionne bien une gêne sur la parcelle n° 874, en termes de nuisances sonores, et implique un changement significatif du point de vue de l'environnement du bâtiment. Les conditions énoncées à l'art. 78 RPGA ne sont pas entièrement réalisées, étant rappelé qu'un degré de sensibilité II est attribué à la zone de villas (cf. art. 8 RPGA) et qu'aucune entreprise gênante n’y est admise conformément à l'art. 43 al. 1 let. b OPB. La nouvelle utilisation du garage, contraire à l'affectation de la zone de villas, ne peut donc pas être autorisée sur la base de l'art. 78 RPGA, y compris dans l'hypothèse où la porte du garage resterait constamment fermée. En réalité, même s'il n'a pas nécessité de travaux de construction, le nouvel aménagement du garage en atelier entre dans le champ d'application des art. 22 al. 1 LAT et 103 al. 1 LATC. Le recourant était ainsi tenu de déposer un dossier complet de demande de permis de construire tendant à la régularisation du changement d'affectation litigieux auprès de l'autorité intimée. C'est en effet dans le cadre d'une procédure d'autorisation avec mise à l'enquête publique, au sens des art. 103 ss LATC, que la municipalité (voire l'autorité cantonale compétente si une autorisation spéciale entre en ligne de compte) aurait été en mesure d'évaluer les immissions sonores en provenance du garage, de vérifier si les exigences des dispositions légales et réglementaires et du plan d'affectation pouvaient être respectées, et de déterminer, le cas échéant, si des aménagements ou des mesures préventives contre le bruit (isolation du local ou autre) s'imposaient. A cet égard, on ne voit pas que la décision attaquée serait contraire au principe de la proportionnalité ou à la garantie de la propriété. e) Dans ces circonstances, la municipalité était fondée à interdire au recourant la poursuite de son activité artisanale dans son garage. La décision attaquée ne viole ni le droit fédéral, ni le droit cantonal. Le grief doit partant être écarté. La cour relève encore, nonobstant la décision attaquée, que le recourant conserve la possibilité de déposer, s'il le souhaite, une demande de permis de construire tendant à la régularisation du réaménagement de son garage en atelier artisanal, l'issue de cette procédure étant réservée.</w:t>
      </w:r>
    </w:p>
    <w:p>
      <w:r>
        <w:rPr>
          <w:b/>
        </w:rPr>
        <w:t>E. 4</w:t>
      </w:r>
    </w:p>
    <w:p>
      <w:r>
        <w:t>Vu ce qui précède, il n'y a pas lieu de procéder aux mesures d'instruction requises, à savoir la tenue d'une inspection locale, la mise en œuvre d'une expertise acoustique, ainsi que la production, par la municipalité, de l'ensemble des plaintes déposées par des habitants de la commune à leur encontre, de l'ensemble des doléances et oppositions formulées par les époux C.________ et D.________ contre leurs voisins, et de toutes pièces attestant de l'enregistrement de la raison individuelle ******** auprès de l'administration communale. L'ensemble de ces mesures tendent à démontrer que l'activité artisanale litigieuse peut être autorisée sans mesures supplémentaires, respectivement qu'elle n'a pas besoin de l'être. Elles trouveraient leur justification dans le cadre d'une procédure d'autorisation de construire, que le recourant a jusqu'à présent refusé d'engager par le dépôt d'une demande de régularisation du changement d'affectation de son garage. Les mesures d'instruction requises seront, si nécessaire, mises en œuvre dans le cadre de cette procédure-là. En l'espèce, la cour est en mesure de se faire une idée complète et précise des faits pertinents sur la base des éléments figurant au dossier de la municipalité et s'estime donc suffisamment renseignée sur la base du dossier pour pouvoir statuer en toute connaissance de cause.</w:t>
      </w:r>
    </w:p>
    <w:p>
      <w:r>
        <w:rPr>
          <w:b/>
        </w:rPr>
        <w:t>E. 5</w:t>
      </w:r>
    </w:p>
    <w:p>
      <w:r>
        <w:t>Il s'ensuit que le recours doit être rejeté et la décision attaquée, confirmée. Succombant, les recourants supporteront les frais de justice ainsi que des dépens en faveur de la commune et des tiers intéressés, qui ont agi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