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AC.2022.0433 vom 5. Mai 2023</w:t>
      </w:r>
    </w:p>
    <w:p>
      <w:r>
        <w:t>VD Tribunal cantonal, 2023-05-05, FR</w:t>
      </w:r>
    </w:p>
    <w:p>
      <w:r>
        <w:rPr>
          <w:b/>
        </w:rPr>
        <w:t xml:space="preserve">Quelle: </w:t>
      </w:r>
      <w:r>
        <w:t>https://mcp.opencaselaw.ch/entscheid/vd_omni_AC.2022.0433</w:t>
      </w:r>
    </w:p>
    <w:p>
      <w:r>
        <w:t>FR: VD_OMNI AC.2022.0433 du 5 mai 2023</w:t>
      </w:r>
    </w:p>
    <w:p>
      <w:r>
        <w:t>IT: VD_OMNI AC.2022.0433 del 5 maggio 2023</w:t>
      </w:r>
    </w:p>
    <w:p>
      <w:pPr>
        <w:pStyle w:val="Heading2"/>
      </w:pPr>
      <w:r>
        <w:t>Regeste</w:t>
      </w:r>
    </w:p>
    <w:p>
      <w:r>
        <w:t>A.________/Municipalité de Morges, B.________ | Recours dirigé contre une autorisation de construire deux villas jumelles. Les combles, qualifiés sur les plans de "galetas", pourront en réalité aisément être destinés à l'habitation au vu de leur hauteur, de leurs ouvertures, de leur accessibilité par un escalier de dimensions usuelles, ainsi que de la présence d'une loggia. Les combles sont ainsi habitables, peu important leur qualificatif sur les plans et le fait que le permis mentionne expressément une intediction de les habiter. Or, les conditions auxquelles le règlement communal subordonne la construction de combles habitables, notamment une parcelle d'une surface étendue, ne sont pas remplies.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Par ailleurs, la recourante est propriétaire de la parcelle voisine 1452 et dispose de la qualité pour agir. Il y a dès lors lieu d'entrer en matière.</w:t>
      </w:r>
    </w:p>
    <w:p>
      <w:r>
        <w:rPr>
          <w:b/>
        </w:rPr>
        <w:t>E. 2</w:t>
      </w:r>
    </w:p>
    <w:p>
      <w:r>
        <w:t>Dans son acte du 23 décembre 2022, la recourante expose une longue série de griefs à l'encontre de l'autorisation de construire, se plaignant d'un défaut de motivation de la décision attaquée, d'une violation des art. 47 et 49 LATC, de l'habitabilité des combles, de nuisances dues aux bruits des pompes à chaleur, de l'insuffisance des plans soumis à enquête publique, de l'incompatibilité du type de villas choisies ( i.e. jumelles) avec la réglementation communale, du non-respect des limites de constructions, des dérogations octroyées en matière de places de stationnement, ainsi que d'une perte d'intimité liée au balcon prévu. Ces griefs seront repris ci-dessous dans la mesure nécessaire.</w:t>
      </w:r>
    </w:p>
    <w:p>
      <w:r>
        <w:rPr>
          <w:b/>
        </w:rPr>
        <w:t>E. 3</w:t>
      </w:r>
    </w:p>
    <w:p>
      <w:r>
        <w:t>Dans un premier grief d'ordre formel, la recourante se plaint d'une motivation insuffisante de la décision municipale du 14 novembre 2022. a) Le droit d'être entendu garanti par l'art. 29 al. 2 de la Constitution fédérale de la Confédération suisse du 28 avril 1999 (Cst; RS 101) implique pour l'autorité l'obligation de motiver sa décision (cf. aussi art. 42 let. c LPA-VD).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 154 consid. 4.2; 141 V 557 consid. 3.2.1). b) En l'espèce, la décision du 14 novembre 2022 respecte amplement les exigences de motivations de l'art. 42 let. c LPA-VD en reprenant point par point les griefs soulevés par la recourante dans ses courriers d'opposition. La recourante a ainsi pu apprécier la portée de la décision et l'attaquer devant la Cour de céans. Le grief doit être rejeté.</w:t>
      </w:r>
    </w:p>
    <w:p>
      <w:r>
        <w:rPr>
          <w:b/>
        </w:rPr>
        <w:t>E. 4</w:t>
      </w:r>
    </w:p>
    <w:p>
      <w:r>
        <w:t>Dans un deuxième grief, la recourante argue que les combles du projet litigieux sont habitables alors que l'art. 8 al. 2 RPQ " En Prellionnaz " l'interdirait expressément. a) D'emblée, la Cour constate que la recourante se réfère à tort à l'art. 8. al. 2 RPQ " En Prellionnaz ". En effet, cette disposition, qui interdit effectivement l'aménagement de combles habitables, s'applique uniquement aux constructions sises dans la zone de l'ordre non contigu. Or, le projet litigieux s'intègre dans la zone dite de villas (art. 16 ss RPQ " En Prellionnaz ") qui permet l'aménagement de combles habitables notamment aux conditions suivantes: "16. Sont autorisées dans cette zone: a) des villas d'un étage habitable; b) des villas de deux étages habitables; c) des villas d'un ou deux étages habitables avec en outre deux chambres au plus en-dessous du rez-de-chaussée; d) des villas de deux étages habitables, avec en outre deux chambres dans les combles ouvertes sur deux façades au plus. 17. La surface bâtie, mesurée au niveau du rez-de-chaussée, terrasse couvertes et garages compris, ne dépassera pas: - dans le cas a) ci-dessus, 1/8 de la surface totale de la parcelle; - dans les cas b) et c), 1/9 de la surface totale de la parcelle; - dans le cas d), 1/12 de la surface totale de la parcelle". Il y a dès lors lieu de déterminer si les combles prévus dans le projet litigieux doivent être qualifiés d'habitables et, dans l'affirmative, si les conditions des art. 16 et 17 RPQ " En Prellionnaz " sont respectées. b) Les art. 25, 27 et 28 du règlement du 19 septembre 1986 d'application de la loi du 4 décembre 1985 sur l'aménagement du territoire et les constructions (RLATC; BLV 700.11.1) régissent de la manière suivante le volume, la hauteur et l'éclairage des locaux destinés à servir à l'habitation: " Art. 25 Volume des pièces d'habitation 1 Tout local susceptible de servir à l'habitation ou au travail sédentaire doit avoir une capacité d'au moins 20 m³. Les chambres à coucher occupées par plus d'une personne auront une capacité d'au moins 15 m³ par occupant. 2 Dans les combles, le cube n'est compté qu'à partir d'une hauteur minimale de 1,30 m sous le plafond ou sous les chevrons. (…) Art. 27 Hauteur des locaux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Eclairage et ventilation 1 Tout local susceptible de servir à l'habitation ou au travail sédentaire est aéré naturellement et éclairé par une ou plusieurs baies représentant une surface qui n'est pas inférieure au 1/8e de la superficie du plancher et de 1 m 2 au minimum. Cette proportion peut être réduite au 1/15e de la surface du plancher et à 0,80 m 2 au minimum pour les lucarnes et les tabatières. Si les contraintes de l'état existant l'imposent, des dérogations peuvent être admises pour les fenêtres, les lucarnes et les tabatières. (…)" Pour être considéré comme "habitable", un niveau doit se prêter au séjour durable des personnes, que ce soit pour l'habitation ou le travail. Pour décider si un niveau est habitable ou non, la seule intention subjective du constructeur n'est pas décisive, mais il faut examiner si objectivement, l'aménagement du niveau considéré permet de rendre la surface facilement habitable (ATF 108 Ib 130; CDAP AC.2016.0437 du 7 février 2018 consid. 8a; AC.2017.0090 du 21 décembre 2017 consid. 1b; AC.2015.0296, AC.2015.0297 du 8 février 2017 consid. 7a). Selon la jurisprudence, il convient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(CDAP AC.2015.0296, AC.2015.0297 précités consid. 7a; AC.2014.0131 du 17 août 2015 consid. 8a; AC. 2009.0267 du 21 février 2011 consid. 4). c) aa) Selon les calculs globaux de la Cour, le "galetas" de la villa B (exclusion faite du cagibi) a une hauteur de 1,30 mètres au moins sur approximativement 42 m 2 et une hauteur de 2,40 mètres au moins sur environ 24 m 2 . 24 m 2 représentant largement plus de la moitié de 42 m 2 , l'art. 27 al. 2 RLATC – traitant de la hauteur minimale des locaux d'habitation – est en tous les cas respecté. Concernant le galetas de la villa A, la hauteur minimale de 1,30 mètres semble observée sur environ 32 m 2 et celle de 2,40 mètres sur environ 16 m 2 . Les conditions de l'art. 27 al. 2 RLATC semblent ainsi pareillement satisfaites pour le galetas de la villa A. Il semble ainsi que l'art. 25 RLATC – traitant des volumes minimaux des pièces d'habitations – soit également respecté. Au demeurant, à supposer même que les règles des art. 25 et 27 RLATC ne soient pas entièrement observées, cette éventuelle déficience ne changerait rien au constat d'habitabilité des combles, compte tenu notamment des éléments qui suivent (éclairage, escaliers, loggia). bb) Toujours selon les calculs de la Cour, chaque porte-fenêtre des galetas a une surface vitrée de 3,78 m 2 (1,8 x 2,1). Concernant les quatre vitres en forme de trapèzes – deux occupant la façade nord-ouest du galetas de la villa A et deux la façade sud-est du galetas de la villa B –, leur surface respective est d'environ 5,04 m 2 ([2,8 + 0,8] x 2,8 / 2). La surface vitrée totale pour chaque galetas se monte donc à environ 13,86 m 2 (3,78 + 5,04 + 5,04), couvrant ainsi largement plus que le minimum imposé par l'art. 28 al. 1 RLATC. Les exigences en matière d'éclairage minimal des locaux d'habitations sont ainsi également respectées. d) Au vu des considérants ci-dessus, les deux galetas semblent respecter les règles de salubrité dictées par les art. 25, 27 et 28 RLATC. Ils seront en outre aisément accessibles depuis le 1 er étage avec lequel ils communiquent directement par un escalier de dimensions usuelles, sans porte d'accès, ce qui constitue également un indice d'habitabilité (CDAP AC.2018.0260 précité consid. 4b/bb). Finalement le galetas de la villa A serait doté d'une loggia orientée sud, dont on discerne difficilement l'utilité pour un galetas. Il ne fait dès lors aucun doute que les galetas pourront aisément être destinés à l'habitation. L'on peut également relever que l'analyse faite par le prestataire externe technique mandaté par la commune va également dans ce sens (voir le Rapport 1453-03 p. 4 ad art. 16) et que le constructeur ne l'a pas contesté dans son courrier sur opposition du 14 juin 2022. A ce titre, le raisonnement de la municipalité ne saurait être suivi quand elle indique avoir expressément interdit – dans sa décision litigieuse – que les combles soient habités et qu'une telle interdiction suffirait à garantir la non-habitabilité des combles. La CDAP a en effet eu l'occasion de relever que la condition qui serait fixée dans les permis de construire ou d'habiter concernant le caractère non habitable n'est pas suffisante lorsqu'elle apparaît en contradiction avec la situation effective d'un espace disponible qui présente les caractéristiques d'une surface habitable (CDAP AC.2018.0260 précité consid. 4a/cc; AC.2017.0402 du 26 juillet 2018 consid. 3b; AC.2017.0060 du 23 mai 2018 consid. 7a; AC.2016.0162 du 1er mai 2017 consid. 7b/aa et les réf. cit.). e) En conclusion, les combles doivent être qualifiées d'habitables.</w:t>
      </w:r>
    </w:p>
    <w:p>
      <w:r>
        <w:rPr>
          <w:b/>
        </w:rPr>
        <w:t>E. 5</w:t>
      </w:r>
    </w:p>
    <w:p>
      <w:r>
        <w:t>a) L'habitabilité des galetas a donc pour conséquence que le projet litigieux, n'entre pas dans le champ d'application des let. a à c de l'art. 16 RPQ " En Prellionnaz " mais, au mieux, dans celui de la let. d (villa de deux étages habitables, avec en outre deux chambres dans les combles ouvertes sur deux façades au plus). Le projet doit par conséquent notamment respecter les restrictions de l'art. 17 troisième hypothèse RPQ " En Prellionnaz " ( i.e. la surface bâtie, mesurée au niveau du rez-de-chaussée, terrasse couvertes et garages compris, ne doit pas dépasser 1/12 de la surface totale de la parcelle). b) En l'espèce, la surface de la parcelle 1453 est de 1'171 m 2 et sera portée à 1'260 m 2 après la modification de limites avec la parcelle 1512. La surface bâtie ne doit par conséquent pas dépasser 97,58 m 2 (1'171 m 2 / 12) respectivement 105 m 2 (1'260 m 2 / 12). La Cour ne peut que constater que la surface bâtie du projet litigieux, de 140 m 2 (correspondant à un 1/9 de la surface totale de la future parcelle de 1'260 m 2 ) est largement supérieure au maximum prévu par l'art. 17 troisième hypothèse RPQ " En Prellionnaz ". Le projet n'est dès lors pas réglementaire sur ce point-là au moins et ne saurait être autorisé. c) L'autorisation de construire du 14 novembre 2022 pouvant déjà être annulée sur ce point essentiel, nul n'est besoin d'analyser les autres griefs soulevés par la recourante ni de donner suite à ses demandes de mesures d'instruction.</w:t>
      </w:r>
    </w:p>
    <w:p>
      <w:r>
        <w:rPr>
          <w:b/>
        </w:rPr>
        <w:t>E. 6</w:t>
      </w:r>
    </w:p>
    <w:p>
      <w:r>
        <w:t>Il résulte des considérants qui précèdent que le recours doit être admis et la décision attaquée annulée. Les frais et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AC.2020.0163 du 18 novembre 2021 consid. 10; AC.2019.0099 du 21 avril 2020 consid. 8; AC.2019.0258/AC.2019.0261 du 10 mars 2020 consid. 6). Ainsi, dans le cas d'espèce, les frais de justice seront mis à la charge du constructeur, qui succombe. La recourante, qui a procédé par l'intermédiaire d'un mandataire professionnel, a droit à des dépens à la charge du constructeur (art. 55, 91 et 99 LPA-VD; art. 10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