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AC.2022.0389 vom 22. Juni 2023</w:t>
      </w:r>
    </w:p>
    <w:p>
      <w:r>
        <w:t>VD Tribunal cantonal, 2023-06-22, FR</w:t>
      </w:r>
    </w:p>
    <w:p>
      <w:r>
        <w:rPr>
          <w:b/>
        </w:rPr>
        <w:t xml:space="preserve">Quelle: </w:t>
      </w:r>
      <w:r>
        <w:t>https://mcp.opencaselaw.ch/entscheid/vd_omni_AC.2022.0389</w:t>
      </w:r>
    </w:p>
    <w:p>
      <w:r>
        <w:t>FR: VD_OMNI AC.2022.0389 du 22 juin 2023</w:t>
      </w:r>
    </w:p>
    <w:p>
      <w:r>
        <w:t>IT: VD_OMNI AC.2022.0389 del 22 giugno 2023</w:t>
      </w:r>
    </w:p>
    <w:p>
      <w:pPr>
        <w:pStyle w:val="Heading2"/>
      </w:pPr>
      <w:r>
        <w:t>Regeste</w:t>
      </w:r>
    </w:p>
    <w:p>
      <w:r>
        <w:t>A.________ à E.________ /Municipalité de Lausanne, F.________, Direction générale de l'environnement DGE-DIREN | Rejet du recours contre le permis de construire portant sur la transformation d'un bâtiment existant en y créant trois logements et la construction de trois nouvelles villas. Ce projet fait suite à un projet similaire, à la différence du fait qu'il prévoyait la création de quatre logements au lieu de trois dans le bâtiment à transformer, motif pour lequel le permis de construire délivré à l'époque avait été annulé par la CDAP (AC.2019.0209). Examen de la portée des mesures contenues dans l'ISOS; pas de motif de revoir la planification (consid.3). Comme dans l'arrêt précédent, rejet des griefs relatifs à l'esthétique et l'intégration (consid.3d), à l'IUS (consid.4), au nombre de places de parc (consid.5), à l'implantation et au bruit du parking souterrain (consid.5 et 10), à l'abattage des arbres (consid.7) et à la limite forestière (consid.8). Recours en matière de droit public rejeté par le TF (1C_391/2023 du 8 août 2024).</w:t>
      </w:r>
    </w:p>
    <w:p>
      <w:pPr>
        <w:pStyle w:val="Heading2"/>
      </w:pPr>
      <w:r>
        <w:t>Erwägungen</w:t>
      </w:r>
    </w:p>
    <w:p>
      <w:r>
        <w:rPr>
          <w:b/>
        </w:rPr>
        <w:t>E. 1</w:t>
      </w:r>
    </w:p>
    <w:p>
      <w:r>
        <w:t>La décision par laquelle une municipalité délivre un permis de construire en levant les oppositions peut faire l'objet d'un recours de droit administratif au sens des art. 92 ss de la loi du 28 octobre 2008 sur la procédure administrative (LPA-VD; BLV 173.36). Le recours a été déposé en temps utile (art. 95 LPA-VD) et il respecte les exigences légales de motivation (art. 79 LPA-VD, par renvoi de l'art. 99 LPA-VD). Dans sa conception architecturale (implantation des bâtiments, etc.), ses aménagements extérieurs et ses effets, le projet litigieux correspond – sauf en ce qui concerne le nombre d'appartements dans le bâtiment transformé, réduit à trois – au projet contesté dans la cause AC.2019.0209. Il convient donc de se référer au consid. 1 de l'arrêt du 28 avril 2021 et de considérer, pour les motifs exposés dans cet arrêt, que la qualité pour recourir (cf. art. 75 LPA-VD, par renvoi de l'art. 99 LPA-VD) doit être reconnue à A._______ et consorts, la question de la légitimation du E._______ pouvant demeurer indécise (étant précisé que les actuelles règles sur la qualité pour recourir des associations, dans la loi du 30 août 2022 sur la protection du patrimoine naturel et paysager [LPrPNP; BLV 4501.11] et dans la loi du 30 novembre 2021 sur la protection du patrimoine culturel et immobilier [LPrPCI; BLV 451.16] exigent, comme l'ancien art. 90 LPNMS, que l'organisation soit d'importance cantonale [art. 66 al. 2 LPrPNP et 63 al. 1 LPrPCI]).</w:t>
      </w:r>
    </w:p>
    <w:p>
      <w:r>
        <w:rPr>
          <w:b/>
        </w:rPr>
        <w:t>E. 2</w:t>
      </w:r>
    </w:p>
    <w:p>
      <w:r>
        <w:t>Les recourants se plaignent d'une violation de leur droit d'être entendus, au motif que l'autorité intimée n'aurait pas traité tous les griefs soulevés dans leurs oppositions. Elle ne se serait ainsi pas prononcée sur la non-compatibilité du projet avec des prescriptions sur la protection du patrimoine, sur l'indice d'utilisation du sol, sur l'implantation du parking souterrain ainsi que sur la protection des arbres et de la forêt. L'obligation de motiver les décisions administratives est prévue, au niveau législatif, à l'art. 42 let c LPA-VD, qui dispose que la décision contient " les faits, les règles juridiques et les motifs sur lesquels elle s'appuie ". Lorsque la contestation porte sur un permis de construire, une règle spécifique figure à l'art. 116 al. 1 de la loi du 4 décembre 1985 sur l'aménagement du territoire et les constructions (LATC; BLV 700.11): les opposants doivent être avisés de la décision accordant le permis, avec l'indication des dispositions légales et réglementaires, lorsque l'opposition est écartée. Plus généralement, ou subsidiairement, l 'obligation de motiver une décision ou un jugement découle également de l a garantie du droit d'être entendu, énoncée à l’art. 29 al. 2 de la Constitution fédérale du 18 avril 1999 (Cst.; RS 101). Selon la jurisprudence à ce propos, l’objet et la précision des indications à fournir dépendent de la nature de l’affaire et des circonstances particulières du cas; en règle générale, il suffit que l’autorité mentionne au moins brièvement les motifs qui l’ont guidée. Il importe que l'administré puisse apprécier correctement la portée de la décision et l’attaquer en connaissance de cause (s'agissant de la portée précise de la garantie constitutionnelle, cf. ATF 148 III 30 consid. 3.1 et les arrêts cités). La municipalité qui écarte une opposition à un projet de construction n'est pas une autorité juridictionnelle tranchant une contestation dont elle aurait été saisie à l'instar d'un tribunal. Dans la pratique, l'autorité communale indique dans les grandes lignes pourquoi le permis de construire doit être délivré, et elle se détermine sur les objections des opposants dans la mesure où elles sont pertinentes ou sérieuses. On ne saurait exiger d'une municipalité une motivation correspondant à celle d'une décision d'une autorité de recours. Du reste, la procédure de recours de droit administratif au Tribunal cantonal (art. 92 ss LPA-VD) permet aux recourants de présenter des griefs à l'encontre du permis de construire même sur des points non traités expressément dans les oppositions ni dans les réponses aux oppositions. Le Tribunal cantonal ayant un libre pouvoir d'examen (conformément à ce qu'exige l'art. 33 al. 3 let. b de la loi fédérale du 22 juin 1979 sur l'aménagement du territoire [LAT; RS 700]), il peut revoir sans restriction l'application des normes en matière d'aménagement du territoire (au sens large). Même si la réponse à l'opposition est sommairement rédigée, l'opposant peut présenter ses griefs sans réserve à l'autorité cantonale de recours. On ne voit pas en quoi, dans ce contexte, un opposant pourrait subir en définitive un préjudice à cause d'une formulation, trop brève selon lui, de la décision municipale. Quoi qu'il en soit, la décision de la municipalité, dans le cas particulier, n'est pas sommairement motivée. Elle expose de façon suffisamment détaillée les raisons pour lesquelles les critiques des recourants ont été écartées, à propos de l'application des prescriptions mentionnées plus haut. Il faut encore relever qu'après la procédure administrative ayant abouti à la délivrance d'un premier permis de construire (des 23 mai/4 juin 2019), l'annulation de ce permis par la CDAP le 28 avril 2021 et la mise à l'enquête par la constructrice d'un projet quasiment identique, les recourants sont à l'évidence, à ce stade, en mesure de bien saisir la portée de la décision de la municipalité et de l'attaquer derechef devant le Tribunal cantonal en connaissance de cause. Leur grief de violation du droit d'être entendu est manifestement mal fondé.</w:t>
      </w:r>
    </w:p>
    <w:p>
      <w:r>
        <w:rPr>
          <w:b/>
        </w:rPr>
        <w:t>E. 3</w:t>
      </w:r>
    </w:p>
    <w:p>
      <w:r>
        <w:t>Les recourants font valoir que le projet ne serait pas compatible avec la protection du patrimoine, en particulier avec la protection conférée par l'ISOS au Château de Vennes, sur la parcelle voisine n o 7203. La validité du plan d'affectation de la commune, dans la mesure où il permet de nouvelles constructions dans ce secteur, devrait être examinée à titre préjudiciel car, selon les recourants, le périmètre du Château de Vennes devrait être préservé. a) Conformément à l'art. 5 al. 1 de la loi fédérale du 1 er juillet 1966 sur la protection de la nature et du paysage (LPN; RS 451) qui donne mandat au Conseil fédéral à ce sujet, l'ordonnance du 13 novembre 2019 concernant l'Inventaire fédéral des sites construits à protéger en Suisse (OISOS; RS 451.12 – entrée en vigueur le 1 er janvier 2020) recense les sites construits d'importance nationale. Lausanne, en tant que ville, y est inscrite depuis le 1 er janvier 2006 (RO 2005 5026). Cette inscription est intervenue sur la base d'une précédente version de l'OISOS. Selon la jurisprudence, les inventaires fédéraux prévus par la LPN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devraient se retrouver dans les plans d'affectation (art. 14 ss LAT). En principe, l'inventaire ISOS doit ainsi être transcrit dans les plans directeurs cantonaux, puis dans la planification locale au moyen des instruments prévus à l'art. 17 LAT. Ces mesures lient ainsi non seulement les autorités dans l'exécution de leurs tâches, mais également les particuliers. Selon l'art. 6 al. 1 LPN, l'inscription d'un objet d'importance nationale dans un inventaire fédéral indique que l'objet mérite spécialement d'être conservé intact ou en tout cas d'être ménagé le plus possible, y compris au moyen de mesures de reconstitution ou de remplacement adéquates. L'inventaire ISOS doit être pris en considération dans la pesée des intérêts de chaque cas d'espèce - y compris lors de l'accomplissement de tâches purement cantonales et communales -, en tant que manifestation d'un intérêt fédéral. Une atteinte demeure possible lorsqu'elle n'altère pas l'identité de l'objet protégé ni le but assigné à sa protection; celui-ci découle du contenu de la protection mentionné dans l'inventaire et les fiches qui l'accompagnent (ATF 147 II 351 consid. 4.3, ATF 135 II 209 consid. 2.1; TF 1C_87/2019 du 11 juin 2020 consid. 3.1.2 et les références; arrêt CDAP AC.2022.0193 du 8 février 2023 consid. 2a, AC.2021.0351 du 11 juillet 2022 consid. 7b). Depuis le 1 er janvier 2020, l'art. 11 OISOS prévoit expressément que les cantons tiennent compte de l'ISOS lors de l'établissement de leurs planifications, en particulier des plans directeurs cantonaux (al. 1), et ils veillent à ce que l'ISOS soit pris en compte en particulier lors de l'établissement des plans d'affectation (al. 2). b) En l'occurrence, il y a lieu d'examiner la portée des mesures contenues dans l'inventaire ISOS, s'agissant de la parcelle litigieuse et des terrains environnants. Quelques années après l'inscription de la ville à l'inventaire, dans la publication de 2015, l'administration fédérale a figuré, sur le plan au 1:5000, un polygone comprenant le Château de Vennes (en noir), le bâtiment annexe au nord (en gris) et un compartiment de terrain, les segments du polygone ne correspondant pas toujours à des limites parcellaires (notamment le segment qui traverse la parcelle n° 7202, dont une petite portion se trouve dans le périmètre). Ce compartiment de terrain n'est pas le parc du Château de Vennes;  curieusement, il ne comporte pas la partie de la parcelle n° 7203 située devant la façade du château tournée vers l'est (à l'opposé du projet litigieux), alors qu'il s'agit de la façade d'apparat (cf. Maurice Bossard/Marcel Grandjean, Le Château de Vennes, Lausanne 1989, p. 24). Le texte du volume 7 de l'inventaire ISOS ne donne aucune explication à ce propos (cf. p. 173 et 271). Il n'est donc pas évident de comprendre comment l'auteur de l'inventaire fédéral a évalué l'importance des abords du Château de Vennes. Cela étant, ce château (c'est-à-dire le bâtiment, en noir sur le plan ISOS) figure à l'inventaire comme "élément individuel EI" – soit, d'après la nomenclature de l'époque, "la plus petite composante du site construit" (cf. Inventaire ISOS, vol. 7, p. 290) - avec un objectif de sauvegarde intégrale de la substance. Depuis que l'OISOS a été révisée, le Département fédéral de l'intérieur a édicté des Directives (DISOS, du 1 er janvier 2020), qui règlent notamment la façon de définir les "parties de site" (art. 20 ss DISOS), à répertorier sous deux formes différentes, selon qu'elles ont une valeur "propre" ou "relationnelle" (art. 20 al. 2 DISOS). A propos de cette nouvelle nomenclature, l'Office fédéral de la culture a publié des "explications" en 2021, dont il ressort clairement qu'il n'est plus prévu, dans les fiches de l'inventaire, d'identifier des "éléments individuels EI" avec un objectif de sauvegarde, mais de mentionner seulement des "observations" à ce propos (p. 5). Sur la base du droit actuel, la portée du texte et des données graphiques concernant l'EI 79.0.5 est pour le moins incertaine. C'est en fonction de ces éléments qu'il y a lieu d'examiner si la décision attaquée, voire le régime de la zone mixte de faible densité du PGA, est compatible avec les normes du droit fédéral constituant le fondement de l'ISOS. c) Normalement, le Tribunal cantonal – et a fortiori une municipalité – ne peut pas, dans une procédure de permis de construire, examiner si le plan d'affectation en vigueur est valable. Selon la jurisprudence du Tribunal fédéral, le contrôle incident ou préjudiciel d'un plan d'affectation dans le cadre d'une procédure relative à un acte d'application est en principe exclu. Un tel contrôle est néanmoins admis, à titre exceptionnel, lorsque les conditions d'un réexamen des plans au sens notamment de l'art. 21 al. 2 LAT sont réunies.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A chacune de ces deux étapes, il convient de procéder à une pesée d'intérêts tenant compte, d'une part, de la nécessité d'une certaine stabilité de la planification et, d'autre part, de l'intérêt d'une adaptation des plans aux changements intervenus (cf. ATF 144 II 41 consid. 5.1; arrêt TF 1C_645/2020 du 21 octobre 2021 consid. 3.2 et les arrêts cités; CDAP AC.2022.0193 du 8 février 2023 consid. 2c, AC.2020.0291 du 17 février 2022 consid. 3). En l'occurrence, il est évident que l'inscription, en 2006, de la ville de Lausanne à l'inventaire ISOS ne constitue pas une circonstance nouvelle déterminante, susceptible de justifier le réexamen du plan général d'affectation, datant lui aussi de 2006. L'identification, dans cet inventaire fédéral, de l'élément individuel EI 79.0.5 sur la parcelle n° 7203, n'est, notamment pour les raisons exposées plus haut, pas un motif de considérer que le régime du PGA, pour la parcelle n° 7202, ne serait plus adapté (étant par ailleurs relevé que les recourants n'ont pas déclaré qu'ils demanderaient, dans le cadre de la révision en cours du plan d'affectation communal, que la parcelle du Château de Vennes soit sortie de la zone à bâtir). Dans le secteur résidentiel de Vennes (périmètre P 79 de l'ISOS; cf. supra, let. B), l'ajout de trois maisons d'habitation ne représente pas une altération du caractère du quartier, le projet litigieux étant compatible avec l'objectif de sauvegarde C (cf. art. 9 al. 4 let. c OISOS). Concrètement, l'autorité communale veille à préserver le caractère du quartier en appliquant de manière adéquate les règles de la zone à bâtir, qui fixent notamment des critères pour l'esthétique et l'intégration des constructions. Ainsi, le plan d'affectation en vigueur peut servir de base à la décision attaquée et la municipalité pouvait délivrer le permis de construire sans examiner préalablement, à titre incident, la validité de cette planification (le TF a retenu la même solution, en relation avec l'ISOS, à propos d'un projet de construction en zone à bâtir en ville de Lausanne – 1C_126/2020 du 15 février 2021 consid. 5.2; cf. également AC.2020.0291 du 17 février 2022 consid. 4). d) L'appréciation de la municipalité, à propos de l'esthétique et de l'intégration du projet – la création de trois nouvelles villas avec un parking souterrain – dans le parc et dans le quartier, correspond à celle que cette autorité avait faite lorsqu'elle avait délivré le permis annulé par l'arrêt AC.2019.0209 du 28 avril 2021, pour un projet dont l'aspect extérieur était identique. Il y a lieu de reprendre ici le raisonnement fait au consid. 6 de l'arrêt précité, retenant en substance ce qui suit:  le projet a fait l'objet d'un préavis positif de la déléguée communale à la protection du patrimoine; elle a pris en considération la note 3 attribuée au bâtiment n o ECA 7259 lors du recensement architectural, la présence de la parcelle dans le périmètre P79 de l'ISOS avec un objectif de sauvegarde "C", et le fait que le jardin ne figurait pas au recensement ICOMOS des parcs et jardins historiques de la Suisse. Cette spécialiste a conclu que la construction des trois villas n'était pas de nature à porter atteinte à la valeur patrimoniale du bâtiment n o ECA 7259, ni à celle du Château de Vennes. Le projet a également fait l'objet d'un préavis du Service d'architecture de la commune, retenant que les trois villas étaient compatibles avec le caractère du site vu la présence de plusieurs bâtiments cubiques à toits plats dans le quartier; le parti architectural de proposer des volumétries relativement modestes détachées en unité permettait à celles-ci de cohabiter avec le bâtiment n o ECA 7259 et son voisinage immédiat. Au regard de ces préavis d'organes spécialisés, tenant compte des caractéristiques du quartier et de la présence dans les environs de bâtiments méritant protection mais ne subissant aucune atteinte, la CDAP a considéré que la municipalité avait exercé correctement son pouvoir d'appréciation en considérant que les trois villas s'intégraient dans leur environnement et présentaient une esthétique satisfaisante. Elle a donc conclu que les normes pertinentes du droit cantonal, singulièrement l'art. 86 LATC, et du droit communal, à savoir les art. 69 ss RPGA, avaient été correctement appliquées, compte tenu de la jurisprudence (cf. également à ce propos arrêt CDAP AC.2020.0291 du 17 février 2022 consid. 8 et les arrêts cités). On ne trouve, dans le dossier de la présente cause, aucun élément propre à justifier une appréciation différente, de sorte que la municipalité était fondée à délivrer le permis de construire sur la base de ce qui avait été décidé auparavant, s'agissant de l'aspect esthétique et de l'intégration. e) La municipalité pouvait au demeurant se prononcer sur ces questions sans soumettre préalablement le projet à la Commission communale consultative d'urbanisme et d'architecture (CCUA). Objectivement, ce projet n'a pas un fort impact sur l'image de la ville et de ses quartiers et les conditions cumulative prévues pour que la CCUA puisse établir un préavis, selon son règlement de fonctionnement du 24 novembre 2020, ne sont pas remplies – en particulier, le projet ne se trouve pas dans une des zones mentionnées à l'art.</w:t>
      </w:r>
    </w:p>
    <w:p>
      <w:r>
        <w:rPr>
          <w:b/>
        </w:rPr>
        <w:t>E. 6</w:t>
      </w:r>
    </w:p>
    <w:p>
      <w:r>
        <w:t>al. 1 let. b de ce règlement. C'est donc à tort que les recourants soutiennent que la CCUA aurait dû intervenir. En outre, leur réquisition tendant à ce que le tribunal effectue une nouvelle inspection locale (après celle du 6 octobre 2020) est rejetée, les éléments du dossier étant suffisants pour statuer sur les questions litigieuses . Enfin, il n'y a pas lieu de consulter l'autorité cantonale spécialisée en matière de protection des monuments historiques - la Division monuments et sites de la Direction générale des immeubles et du patrimoine –, qui d'après la synthèse CAMAC n'avait aucune remarque à formuler sur le projet; son avis sur la portée de l'inventaire ISOS n'est pas nécessaire. Les griefs des recourants, à propos de l'intégration du projet, se révèlent en définitive mal fondés. 4. Les recourants font valoir que le projet viole les art. 17 et 119 RPGA qui réglementent l'indice d'utilisation du sol (IUS). Ils relèvent que les calculs de la constructrice ne seraient pas suffisamment précis et que plusieurs surfaces au sous-sol du bâtiment existant et des trois villas projetées auraient été omises à tort dans le calcul de la surface brute de plancher utile (SBPU). Ce grief a été traité au consid. 12 de l'arrêt du 28 avril 2021. En substance, l 'art. 119 RPGA, applicable à la zone mixte de faible densité, prévoit que l'indice d'utilisation du sol (à savoir, selon l'art. 17 RPGA, le rapport numérique entre la surface brute du plancher utile et la surface constructible du terrain) est limité à 0,50. En l'espèce, la surface de la parcelle étant de 3'395 m 2 , le projet, avec une surface brute de plancher totale de 1'697 m 2 (le bâtiment existant de 971 m 2 et les trois villas de 726 m 2 ) pour un maximum admissible de 1'697.50 m 2 , était réglementaire. Le calcul des surfaces avait été fait par le bureau d'architectes, sur un document mis à l'enquête publique; ce document avait été considéré comme probant. Le dossier de l'autorisation actuellement litigieuse comporte des plans montrant quelles surfaces ont été comptabilisées comme SBPU (surfaces teintées en bleu); elles représentent un total de 1'697 m 2 (comme pour le projet autorisé précédemment). Il n'y a aucun motif de mettre en doute le caractère probant de ce document. Le décompte de la SBPU ne comporte pas les surfaces en sous-sol pour des locaux qualifiés de non utilisés ou non utilisables pour l'habitation ou le travail; c'est précisément ce que prescrit l'art. 17 al. 2 let. a RPGA. Les recourants font valoir que certaines de ces surfaces - les locaux désignés comme "disponible" (9,5 m 2 ) et "dépôts" (8, 11 et 12,5 m 2 ) dans le bâtiment à rénover -, seraient voués à être utilisés pour l'habitation mais cette allégation n'est étayée par aucun élément probant. Le fait que chaque logement prévu dans ce bâtiment comprenne déjà une buanderie et une cave n'exclut pas des locaux de rangement supplémentaires, conçus sans communication directe avec les appartements, sans chauffage et sans les caractéristiques habituelles de pièces habitables (ouvertures, etc.). S'agissant des salles de jeux prévues dans les villas, ces pièces de 24,5 m 2 ne seront pas non plus chauffées et seront dotées d'une ouverture en saut de loup. De telles surfaces en sous-sol, notamment lorsqu'elles ne répondent pas aux critères de salubrité fixés par les art. 25 à 28 du règlement d'application de la LATC (RLATC; BLV 700.11.1) pour les véritables locaux d'habitation, peuvent précisément être utilisées comme salle de jeux, de sport ou autre sans être prises en compte dans le calcul du coefficient d'utilisation du sol (cf. CDAP AC.2021.0329 du 22 décembre 2022 consid. 4c; AC.2021.0374 du 21 novembre 2022 consid. 2d et les références). En définitive, le calcul de la SBPU est correct et le maximum admissible de 1'697.50 m 2 n'est pas dépassé. Les griefs des recourants à ce propos sont mal fondés. 5. Les recourants font valoir que la municipalité n'aurait dû autoriser que</w:t>
      </w:r>
    </w:p>
    <w:p>
      <w:r>
        <w:rPr>
          <w:b/>
        </w:rPr>
        <w:t>E. 9</w:t>
      </w:r>
    </w:p>
    <w:p>
      <w:r>
        <w:t>Les recourants critiquent l'autorisation à bien plaire pour des empiètements sur la limite des constructions du chemin Isabelle-de-Montolieu (route communale à l'est de la parcelle n° 7202), singulièrement pour les dalles de la terrasse de la villa A1. Une telle autorisation à bien plaire, dans les espaces frappés par une limite des constructions, est fondée sur l'art. 46 RPGA. Elle est admissible pour "des pavillons de jardin, escaliers, passerelles, murs, dallages, emplacements pour conteneurs, portails, porches d’entrée, petits garages, places de stationnement, structures légères" (art. 46 al. 1 RPGA); il faut que la suppression ultérieure de l’ouvrage (en cas d'élargissement de la route) "ne compromette pas l’exploitation de l’immeuble ni ne le rende non réglementaire" (art. 46 al. 2 RPGA). Dans sa réponse, la municipalité indique que sa pratique constante est d'autoriser sur cette base les constructions réversibles, de structure légère et minime, qui empiètent sur la limite des constructions. On ne voit pas en quoi l'application de l'art. 46 RPGA serait critiquable dans le cas particulier. Le recours est manifestement mal fondé sur ce point.</w:t>
      </w:r>
    </w:p>
    <w:p>
      <w:r>
        <w:rPr>
          <w:b/>
        </w:rPr>
        <w:t>E. 10</w:t>
      </w:r>
    </w:p>
    <w:p>
      <w:r>
        <w:t>Les recourants font valoir que les nuisances sonores provenant de l'utilisation du parking souterrain pourraient dépasser les valeurs limites prescrites par la législation fédérale sur la protection de l'environnement. L'exploitation d'un parc à voitures couvert, en tant que nouvelle installation fixe, ne doit pas provoquer un dépassement des valeurs de planification dans le voisinage, conformément au principe posé à l'art. 25 al. 1 de la loi fédérale du 7 octobre 1983 sur la protection de l'environnement (LPE; RS 814.01). Ces valeurs sont fixées dans l'ordonnance du</w:t>
      </w:r>
    </w:p>
    <w:p>
      <w:r>
        <w:rPr>
          <w:b/>
        </w:rPr>
        <w:t>E. 15</w:t>
      </w:r>
    </w:p>
    <w:p>
      <w:r>
        <w:t>décembre 1986 sur la protection contre le bruit (OPB; RS 814.41 – cf. annexe 6 ch. 1 let. d et ch. 2). Le service spécialisé du canton a estimé que le bruit des véhicules sur la rampe d'accès au parking litigieux ne dépasserait pas ces valeurs limites et il n'y a aucun motif de mettre en doute cette évaluation (voir, à propos d'un parking souterrain d'une capacité nettement supérieure, arrêt CDAP AC.2018.0008 du 13 juillet 2018 consid. 3). Par ailleurs, le projet autorisé ne comporte pas une installation de ventilation mécanique du garage qui produirait du bruit extérieur. Ces griefs des recourants sont manifestement mal fondés. 11. Les recourants font valoir que la parcelle n o 7202 est concernée par la pollution des sols aux dioxines/furanes constatée en ville de Lausanne au début de l'année 2021, qui a amené les autorités cantonales à lancer des campagnes d'analyse de sols pour évaluer le niveau et l'étendue de cette pollution. Selon les recourants, le projet n'aurait pas dû être autorisé sans assainissement préalable; ils se réfèrent notamment aux art. 33 ss LPE (lutte contre les atteintes portées au sol). Cette question n'a pas été ignorée par la DGE, qui a fixé certaines conditions pour le traitement des matériaux terreux lors du chantier (cf. supra, let. F). Avec cette autorisation spéciale, les exigences du droit fédéral sont à l'évidence respectées car une éventuelle pollution du sol n'exclut pas, selon les art. 33 ss LPE, l'octroi d'un permis de construire. 12. Les recourants exposent que les conditions à l'octroi d'une dérogation à la loi sur l'énergie ne sont pas réunies. Ce grief est inconsistant. Il résulte en effet de l'instruction que le projet ne nécessite pas une décision du service cantonal spécialisé portant sur une telle dérogation (cf. supra, let. I). 13. Les recourants reprochent à la municipalité de ne pas s'être prononcée sur la portée d'une servitude (de droit privé) de restriction de bâtir, qui empêcherait la réalisation des trois villas de deux logements et qui serait pertinente "pour juger de la conformité du projet avec la réglementation communale puisqu'elle s'analyse au regard de l'art. 120 RPGA qui impose l'ordre non contigu" (p. 29 du recours). L'art. 120 RPGA prévoit effectivement que l'ordre non contigu est obligatoire dans la zone mixte de faible densité; or les recourants ne prétendent pas, à raison, que les trois villas projetées seraient implantées en ordre contigu. On peine à comprendre leur argumentation sur ce point. Quoi qu'il en soit, la portée de la servitude de droit privé invoquée n'est pas pertinente pour l'application du droit public des constructions (voir à ce propos le consid. 13 de l'arrêt du 28 avril 2021). 14. Il résulte des considérants que le recours, entièrement mal fondé, doit être rejeté dans la mesure où il est recevable. Cela entraîne la confirmation de la décision de la municipalité octroyant le permis de construire, avec toutes les autorisations  accessoires. Les recourants, qui succombent, doivent payer les frais de justice (art. 49 LPA-VD). Compte tenu de l'importance et de la difficulté de la cause, le montant de l'émolument doit être fixé à 5'000 fr., comme dans l'arrêt AC.2019.0209 du 28 avril 2021. Les recourants auront en outre à verser des dépens à la Commune de Lausanne et à la constructrice, qui obtiennent gain de cause avec l'assistance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