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AC.2022.0387 vom 4. September 2023</w:t>
      </w:r>
    </w:p>
    <w:p>
      <w:r>
        <w:t>VD Tribunal cantonal, 2023-09-04, FR</w:t>
      </w:r>
    </w:p>
    <w:p>
      <w:r>
        <w:rPr>
          <w:b/>
        </w:rPr>
        <w:t xml:space="preserve">Quelle: </w:t>
      </w:r>
      <w:r>
        <w:t>https://mcp.opencaselaw.ch/entscheid/vd_omni_AC.2022.0387</w:t>
      </w:r>
    </w:p>
    <w:p>
      <w:r>
        <w:t>FR: VD_OMNI AC.2022.0387 du 4 septembre 2023</w:t>
      </w:r>
    </w:p>
    <w:p>
      <w:r>
        <w:t>IT: VD_OMNI AC.2022.0387 del 4 settembre 2023</w:t>
      </w:r>
    </w:p>
    <w:p>
      <w:pPr>
        <w:pStyle w:val="Heading2"/>
      </w:pPr>
      <w:r>
        <w:t>Regeste</w:t>
      </w:r>
    </w:p>
    <w:p>
      <w:r>
        <w:t>A.________, B.________ et C.________ /Municipalité de Prilly, D._______, E.________ et F.________, Direction générale de l'environnement DGE-DIRNA, Direction générale des immeubles et du patrimoine | Projet de construction de deux immeubles de 9 et 11 appartements à Prilly. Rejet du grief relatif à l'intégration du projet dans l'environnement bâti (consid. 1). La parcelle ne contient pas de biotope (consid. 2a/bb). Rappel des principes relatifs au recensement ICOMOS quand bien même les parcelles accueillant n'en font pas partie. Il n'appartient pas au tribunal de remettre en cause la manière dont le recensement ICOMOS a été effectué, même si la manière dont il a été réalis à l'endroit litigieux peut surprendre (consid. 2c). Les remarques des recourantes relatives à une atteinte à un patrimoine naturel et à une zone de verdure de grande valeur, même si elles sont en partie fondées, relèvent de l'opportunité et n'impliquent pas une violation du droit (consid. 2d). Rejet du grief relatif à l'abattage d'un saule pleureur (consid. 3). Rejet des griefs relatifs à l'équipement de la parcelle (accès) (consid. 4. Rejet du grief relatif au nombre de places de parc, qui sont conformes à la norme VSS (consid.5).</w:t>
      </w:r>
    </w:p>
    <w:p>
      <w:pPr>
        <w:pStyle w:val="Heading2"/>
      </w:pPr>
      <w:r>
        <w:t>Erwägungen</w:t>
      </w:r>
    </w:p>
    <w:p>
      <w:r>
        <w:rPr>
          <w:b/>
        </w:rPr>
        <w:t>E. 1</w:t>
      </w:r>
    </w:p>
    <w:p>
      <w:r>
        <w:t>La Municipalité, sur préavis favorable de la Commission consultative d'urbanisme, peut prendre des dispositions exceptionnelles pour sauvegarder l'esthétique d'un quartier ou pour tenir compte de situations acquises, notamment à la limite de deux zones.</w:t>
      </w:r>
    </w:p>
    <w:p>
      <w:r>
        <w:rPr>
          <w:b/>
        </w:rPr>
        <w:t>E. 2</w:t>
      </w:r>
    </w:p>
    <w:p>
      <w:r>
        <w:t>Pour obtenir que les constructions présentent un aspect architectural satisfaisant, la Municipalité, sur préavis de la Commission consultative d'urbanisme, peut prescrire le revêtement et la couleur des façades, les encadrements des jours, l'aménagement des abords, etc.</w:t>
      </w:r>
    </w:p>
    <w:p>
      <w:r>
        <w:rPr>
          <w:b/>
        </w:rPr>
        <w:t>E. 3</w:t>
      </w:r>
    </w:p>
    <w:p>
      <w:r>
        <w:t>En outre, la Municipalité peut refuser, sur préavis négatif de la Commission consultative d'urbanisme, le permis de construire pour tout bâtiment, même conforme aux planifications et aux réglementations de la zone, dont l'architecture compromet l'unité et l'aspect général du quartier. Le type d'implantation, la volumétrie générale et le rythme des façades doivent former un tout homogène. "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1C_610/2018 du 12 juin 2019 consid. 5.1.2; 1C_360/2018 du 9 mai 2019 consid. 4.1.2; CDAP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de la loi fédérale du 22 juin 1979 sur l'aménagement du territoire [LAT; RS 700];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On relèvera encore que, selon la jurisprudence récente, fondamentalement, l'exploitation maximale des possibilités de construire correspond à un intérêt public.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CDAO AC.2016.0207 du 16 avril 2019 consid. 4). b) Lors de la vision locale, le tribunal a pu constater que les constructions environnantes sont relativement hétérogènes en ce sens qu'il n'y a pas de répétition de constructions identiques.  Pour le reste, il a pu être constaté que la plupart des constructions sises à proximité ont une volumétrie assez semblable et sont coiffées de toits à pans. Le projet litigieux, compte tenu du volume des constructions et des toits plats, rompt clairement avec ces caractéristiques architecturales. Cela étant, on relève que le projet respecte les prescriptions dimensionnelles du règlement communal, qui a été adopté récemment, et que ce règlement prévoit que la forme des toitures est libre à l'exception des toits à pans inversés (art. 2.19 RC). Le projet est ainsi réglementaire tant en ce qui concerne les dimensions des constructions que la forme des toitures. Pour le surplus, on ne saurait considérer que, dans le cas d'espèce, l'utilisation des possibilités de construire réglementaires serait déraisonnable en raison de l'atteinte portée à un bâtiment ou un ensemble de bâtiments présentant des qualités esthétiques remarquables, qui font défaut à l'ouvrage projeté ou que mettrait en péril sa construction. Sur ce point, on peut relever que le projet n'implique pas d'atteinte significative à la maison de maître sise sur la parcelle voisine n° 821 ou au quartier Jolimont-Perréaz, comme en atteste notamment la prise de position de la DGIP selon laquelle il n'y a pas d'"enjeu cantonal" (cf. notamment demande de dispense de participation à l'audience du 31 mars 2023). c) On relèvera encore que l'argument selon lequel le projet porterait atteinte aux objectifs du plan directeur intercommunal de l'ouest lausannois ne saurait justifier de remettre en cause le permis de construire. En effet, selon la jurisprudence, le statut du sol est déterminé par le plan d'affectation en vigueur et ne peut pas dépendre d'un plan directeur (cf. CDAP AC.2015.0091 du 24 mars 2016 consid. 2). Or, on a vu que le projet respecte le règlement communal récemment adopté. 2. Les recourantes A.________ et B.________ mettent en cause la perte de biodiversité qui serait liée au caractère excessif du projet. Elles invoquent une atteinte à un patrimoine naturel et à une zone de verdure de grande valeur. Elles indiquent qu'elles ne demandent pas le maintien des constructions existantes, mais le redimensionnement du projet. Elles soutiennent que ce redimensionnement aurait dû être exigé sur la base d'une pesée des intérêts en présence, incluant la protection des bâtiments protégés, des arbres, du climat, de la biodiversité, du paysage, la mobilité douce et l'usage parcimonieux de l'énergie et des matériaux. Elles invoquent également l'inventaire des jardins ICOMOS en faisant valoir, si on comprend bien, que les parcelles n os 829 et 830 auraient dû être intégrées dans cet inventaire, plus particulièrement dans le cadre de la mise à jour qui s'est achevée en septembre 2022. a) Le permis de construire, tout au moins s'il s'agit de l'autorisation ordinaire de l'art. 22 al. 2 LAT, constitue une autorisation de police à laquelle l'administré a droit pour autant qu'il remplisse les conditions posées par les textes applicables. Il n'appartient dès lors pas à l'autorité municipale d'élaborer des variantes destinées à s'imposer aux constructeurs, ni de subordonner l'octroi de l'autorisation à des conditions accessoires non prévues par la loi (cf. CDAP AC.2013.0303 du 28 mai 2014; TA AC 2006.0195 du 26 février 2007 consid. 2b et les arrêts cités). De même, en présence d'un projet réglementaire et sous réserve de l'existence d'un biotope et de la question de l'abattage d'arbres protégés qui sera examinée ci-dessous, il n'appartient pas à la municipalité de procéder dans le cadre d'une procédure de permis de construire à une pesée des intérêts en présence qui pourrait aboutir au refus du permis de construire ou à une exigence de redimensionnement du projet. A cet égard, les procédures de permis de construire en zone à bâtir se distinguent des procédures de planification (dans lesquelles une pesée des intérêts est exigée en application de l'art. 3 de l'ordonnance du 28 juin 2000 sur l'aménagement du territoire [OAT; RS 700.1]) ou des procédures de  permis de construire en dehors de la zone à bâtir (dans lesquelles une pesée des intérêts est imposée en application des  art. 24 let. b LAT et 34 al.</w:t>
      </w:r>
    </w:p>
    <w:p>
      <w:r>
        <w:rPr>
          <w:b/>
        </w:rPr>
        <w:t>E. 4</w:t>
      </w:r>
    </w:p>
    <w:p>
      <w:r>
        <w:t>let. b OAT). Les recourantes ne sauraient ainsi être suivies lorsqu'elles soutiennent qu'un redimensionnement du projet, y compris une réduction de la surface de revêtement de type "enrobé bitumineux" aurait dû être imposé par la municipalité sur la base d'une pesée des intérêts en présence. b) aa) Les recourantes font valoir que la zone de verdure sise sur les parcelles n os 829 et 830 est d'une valeur irremplaçable tant par sa surface et sa longévité que par la continuité qu'elle offre vers d'autres jardins du quartier pour la faune et la flore. Elles relèvent que des batraciens protégés, des hérissons et des oiseaux s'y réfugient. Elles mentionnent également les sols en relevant qu'ils abritent une multitude de biodiversité et de micro-organismes et qu'ils jouent un rôle dans la séquestration du CO2 et, par conséquent, de la régulation climatique. Implicitement, elles soutiennent ainsi qu'on serait en présence d'un biotope dont l'existence aurait dû entrainer un redimensionnement du projet. bb) Il convient ainsi d'examiner si on est en présence d'un biotope. L’art. 18 de la loi fédérale du 1 er juillet 1966 sur la protection de la nature et du paysage (LPN; RS 451) prévoit notamment ce qui suit: " Protection d'espèces animales et végétales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Le droit fédéral ne définit pas précisément la notion de biotope. Il ressort de la jurisprudence du Tribunal fédéral que les exigences de l’art. 18 LPN ne s’appliquent pas à tout milieu biotique offrant à un peuplement animal et végétal bien déterminé et des conditions d’habitat relativement stables; le concept de biotope auquel se réfère la législation fédérale en la matière se rapporte à "un espace vital suffisamment étendu" (cf. ATF 121 II 161 consid. 2b/bb p. 163; 116 Ib 203 consid. 4b p. 209). L’art. 18 al. 1 ter LPN prévoit par ailleurs que seules les atteintes aux "biotopes dignes de protection" doivent en principe être évitées. Selon le Tribunal fédéral, les cantons disposent d’une importante marge d’appréciation pour déterminer quels sont les "espaces vitaux suffisamment étendus" dignes de protection, car le droit fédéral n’implique pas – comme il le fait pour les forêts – la protection de l’ensemble des biotopes (ATF 133 II 220 consid. 2.3 p. 223; 121 II 161 consid. 2b/bb). Selon l'art. 14 al. 3 de l'ordonnance du Conseil fédéral du 16 janvier 1991 sur la protection de la nature et du paysage (OPN, RS 451.1) les biotopes sont désignés comme étant dignes de protection sur la base: "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La LPN distingue les biotopes d’importance nationale (art. 18a LPN) et les biotopes d’importance régionale et locale (art. 18b LPN). Le Conseil fédéral désigne les biotopes d’importance nationale après avoir pris l’avis des cantons (art. 18a al. 1 LPN). Selon l’art. 18a al. 2 LPN, les cantons règlent la protection et l’entretien de ces biotopes. Ils prennent à temps les mesures appropriées et veillent à leur exécution. L'art. 18b al. 1 LPN charge les cantons de veiller également à la protection et à l’entretien des biotopes d’importance régionale et locale.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p. 212). Aux termes de l'art. 14 al. 5 OPN, les cantons doivent prévoir à cet effet une procédure de constatation appropriée pour prévenir toute détérioration de biotopes dignes de protection. L'art. 14 al. 6 OPN précise qu'une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(a); son rôle dans l'équilibre naturel (b); son importance pour la connexion des biotopes entre eux (c); et sa particularité ou son caractère typique (d). Selon l'art. 14 al.</w:t>
      </w:r>
    </w:p>
    <w:p>
      <w:r>
        <w:rPr>
          <w:b/>
        </w:rPr>
        <w:t>E. 7</w:t>
      </w:r>
    </w:p>
    <w:p>
      <w:r>
        <w:t>OPN, l’auteur ou le responsable d’une atteinte à un biotope digne de protection doit être tenu de prendre des mesures optimales pour assurer la protection, la reconstitution ou, à défaut, le remplacement adéquat du biotope. L’art. 14 al. 1 OPN précise que la protection des biotopes doit assurer, notamment de concert avec la compensation écologique (art. 15) et les dispositions relatives à la protection des espèces (art. 20), la survie de la flore et de la faune sauvage indigènes. Les restrictions au droit de propriété que nécessitent les mesures de protection des biotopes doivent être justifiées par un intérêt public important et respecter le principe de proportionnalité. Selon la jurisprudence, plus les espèces en question sont rares, plus les mesures à prendre quant à la protection des espèces dont la survie est menacée doivent être sévères (ATF 118 Ib 485 consid. 3b p. 489; 114 Ib 272 consid. 4a p. 273). Lorsqu’il s’agit de protéger des biotopes à l’intérieur de zones à bâtir, il convient de prendre également en considération les intérêts à une utilisation à des fins de construction conforme au plan de zone en vigueur (ATF 116 Ib 203 consid. 5g p. 213), de même que l’intérêt à la sécurité du droit (TF 1C_653/2019 du 15 décembre 2020 consid. 3.6.2; 1A.113/2005 du 17 janvier 2006 consid. 1.2). Le Canton de Vaud n'a pas réglementé la procédure de désignation des biotopes, comme le lui commande l’art. 14 al. 5 OPN (CDAP AC.2019.0366, AC.2019.0367 du 17 septembre 2020 consid. 6d/aa et les références). Si les cantons ne satisfont pas à cette exigence,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Lorsque la réalisation d’une construction ou d’une installation pourrait porter atteinte à un biotope protégé, la pesée des intérêts prévue à l’art. 18 al. 1 ter LPN peut ainsi s’effectuer dans le cadre de la procédure d’autorisation ordinaire (ATF 121 II 161 consid. 2b/bb p. 163 et les références citées). En l'espèce, des collaborateurs de la division "Nature dans l'espace bâti et paysage" de la DGE, soit du service cantonal spécialisé en matière de protection de la nature, ont participé à l'audience qui s'est tenue le 1 er juin 2023 et à la vision locale. A cette occasion, ils ont clairement indiqué que les jardins des parcelles n os 829 et 830 ne constituaient pas un biotope au sens des dispositions fédérales précitées, ce constat concernant également le saule pleureur. Le tribunal apprécie librement les preuves. Lorsqu'il s'agit d'examiner des questions de nature technique, le tribunal s'impose une certaine retenue, notamment à l'égard des préavis de services cantonaux spécialisés, assimilés dans une large mesure à des avis d'experts. Il ne peut s'écarter de l'avis du service spécialisé que pour des motifs convaincants; il en est de même en ce qui concerne les constatations de fait qui fondent cet avis (cf. CDAP AC.2013.0467 du 15 juillet 2014 consid. 5b; AC.2012.0239 du 23 avril 2013 consid. 3; AC.2011.0174 du 13 avril 2012 consid. 6b; AC.2009.0138 du 20 mai 2010 consid. 5b/bb). En l'occurrence, le tribunal n'a aucune raison de s'écarter de l'avis exprimé sur place par les représentants du service cantonal spécialisé, ce d'autant plus que les recourants n'ont amené aucun élément susceptible de mettre en cause le bien-fondé de cet avis, mis à part le fait que la présence de batraciens, de hérissons et d'oiseaux a pu être constatée dans les jardins des parcelles n os 829 et 830. Or, l'existence d'un biotope au sens de l'art. 18 LPN ne saurait être déduite de ce seul constat. Partant, il y a lieu de retenir qu'on ne se trouve pas en présence d'un biotope. c) aa) Le recensement des parcs et jardins historiques de la Suisse a été réalisé par le Conseil international des monuments et sites ( International Council on Monuments ans sites – ICOMOS) et par l'Office fédéral de la culture. Il couvre la totalité du territoire et inclut l'ensemble des jardins historiques suisses dignes de protection. Le recensement des parcs et jardins historiques du canton de Vaud a été réalisé dans le cadre d'un projet initié par la section suisse de l'ICOMOS (International Council on Monuments and Sites). Il ne s'agit pas à proprement parler d'un recensement architectural des constructions mais la jurisprudence considère que sa portée paraît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(cf. CDAP AC.2021.0285, 2021.0288 du 7 juin 2023 consid. 4b/cc; AC.2018.0225 du 9 octobre 2019; AC.2016.0043 du 22 mars 2017; AC.2015.0153 du 15 septembre 2016; AC.2014.0129 du 7 décembre 2015 et les référence citées). Selon la fiche d'application du Département des institutions et du territoire (actuellement Département des institutions, du territoire et du sport) de septembre 2019, il est vivement recommandé d'utiliser le recensement des parcs et jardins historiques de la Suisse comme donnée de base dans le cadre de l'élaboration de la planification communale. bb) En l'espèce, il n'est pas contesté que  les parcelles n os 829 et 830 n'ont pas, à ce jour, été intégrées dans le recensement ICOMOS. Même si cette absence peut surprendre compte tenu du fait que les jardins des parcelles sises directement au sud et au nord ont été intégrées (notamment les parcelles voisines n os 831 et 821), il n'appartient pas au tribunal de remettre en cause la manière dont le recensement a été effectué à l'occasion d'un recours contre un permis de construire, ce d'autant plus que le règlement communal ne se réfère pas à ce recensement. Partant, le permis de construire ne saurait être remis en cause pour des motifs liés au recensement ICOMOS et ce grief des recourantes doit également être écarté. d) En relation avec le grief des recourantes relatif à une atteinte à un patrimoine naturel et à une zone de verdure de grande valeur qui ne serait pas admissible et impliquerait à tout le moins un redimensionnement du projet, on peut constater que les parcelles du quartier, notamment celles du secteur Jolimont-Perréaz, présentent une unité avec comme caractéristique commune des rues bordées de verdure, des haies vives et de nombreux arbres. Par rapport à ces éléments caractéristiques qui confèrent une qualité évidente à ce quartier, le projet litigieux implique effectivement une rupture non négligeable avec notamment la suppression d'une partie importante de la végétation longeant le chemin des Fleurs, ce qui entraîne un appauvrissement du rapport entre les biens-fonds concernés et la rue. On relève également que les jardins des parcelles n os 829 et 830 présentent des qualités comparables à ceux des 24 villas du secteur Jolimont-Perréaz qui sont intégrées dans le recensement ICOMOS et que, s'agissant de l'arborisation, il existe une continuité entre ces jardins et ceux alentours qui ont été recensés, ce qui semble leur conférer une forme de protection d'après les explications données à l'audience par les représentants de la municipalité (malgré le fait que le recensement ICOMOS n'est pas mentionné dans les règlements communaux). Il aurait ainsi pu s'avérer opportun de mener une réflexion pour sauvegarder un peu mieux les caractéristiques et l'intérêt des jardins existants sur les deux parcelles concernées par le projet. Ces différents constats relèvent toutefois de l'opportunité et n'impliquent pas une violation de dispositions légales ou réglementaires qui serait susceptible d'entraîner une admission du recours et une annulation du permis de construire. Sur ce point, il y a lieu de rappeler que le tribunal de céans effectue uniquement un contrôle en légalité des décisions qui lui sont soumises qui, contrairement au contentieux des plans d'affectation (cf. art. 33 al. 3 let. b LAT), ne s'étend pas à l'opportunité (cf. art. 98 let. a de la loi vaudoise du 28 octobre 2008 sur la procédure administrative [LPA-VD; BLV 173.36]). 3. Les recourantes mettent en cause l'autorisation d'abattage du saule pleureur et des haies vives présents sur les parcelles. Elles contestent également les compensations qui sont prévues. a) aa) Au niveau cantonal, la protection des arbres était assurée, jusqu'au 31 décembre 2022, par les art. 5 et 6 de la loi vaudoise du 10 décembre 1969 sur la protection de la nature des monuments et des sites (aLPNMS), devenue le 1 er juin 2022 loi du 10 décembre 1969 sur la protection de la nature et des sites (aLPNS; BLV 450.11). La LPNS, en vigueur au moment où la décision attaquée a été rendue, et son règlement d'application du 22 mars 1989 (RLPNMS; BLV 450.11.1) instaurent une protection des arbres qui méritent d'être sauvegardés en raison de l'intérêt général qu'ils présentent (art. 4 aLPNS). Selon l'art. 5 aLPNS, il s'agit des arbres, cordons boisés, boqueteaux et haies vives qui sont compris dans un plan de classement cantonal ou qui font l'objet d'un arrêté de classement au sens de l'art. 20 aLPNS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aLPNS, lorsque leur état sanitaire n'est pas satisfaisant, lorsqu'ils empêchent une exploitation agricole rationnelle ou lorsque des impératifs techniques ou économiques l'imposent. Cette liste exemplative est complétée, en exécution de l'art. 6 al. 3 aLPNS,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aLPNS et art. 16 et 17 RLPNMS).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(CDAP AC.2020.0165 du 30 juin 2021 consid. 12a/bb; AC.2019.0073 du 12 novembre 2019 consid. 8; AC.2018.0238 du 20 décembre 2018 consid. 1a; AC.2017.0245 du 26 juin 2018 consid. 7b). Lorsque la protection instaurée par le droit communal procède – comme tel est le cas ici pour les arbres concernés – d'un règlement déclarant protéger tous les arbres revêtant certaines caractéristiques, il faut tenir compte du caractère schématique de la protection et considérer que l'abattage et le remplacement éventuel peuvent être envisagés en rapport avec une construction (CDAP AC.2020.0165 précité consid. 12a/bb; AC.2019.0366 du 17 septembre 2020 consid. 6b/bb; AC.2019.0073 précité consid. 8).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(CDAP AC.2020.0165 précité consid. 12a/bb; AC.2019.0089 du 16 avril 2020 consid. 10a/bb; AC.2019.0091 du 8 octobre 2019 consid. 4c). cc) Le 1 er janvier 2023 est entrée en vigueur la LPrPNP. Parmi les buts de cette loi, l'art. 1 al. 2 LPrPNP mentionne la sauvegarde et le développement du patrimoine arboré (let. g). Par patrimoine arboré, on entend les arbres, les allées d'arbre, les cordons boisés, les bosquets, les haies vives, les buissons, les vergers et fruitiers haute tige non soumis à la législation forestière (art. 3 al. 10 LPrPNP). Sous section II intitulée " patrimoine arboré ", les art. 14 à 16 LPrPNP régissent la conservation et le remplacement du patrimoine arboré.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 Parcs et Promenades. 3 Le produit de la taxe est affecté par la commune au développement du patrimoine arboré. " L'art. 71 de cette loi prévoit, à titre de dispositions transitoires, ce qui suit: " 1 Les plans d'affectation communaux qui ont déjà été soumis à l'examen préalable au sens de l'article 37 LATC lors de l'entrée en vigueur de la présente loi, ne sont pas soumis aux obligations de l'art. 27, alinéa 1. Pour le surplus, les dispositions de la LPrPNP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Il n'est en revanche pas clair si cette loi s'applique aux procédures de recours pendantes à son entrée en vigueur.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La LPrPNP vise à renforcer la protection du patrimoine arboré, notamment pour réduire l'impact des épisodes caniculaires (cf. EMPL janvier 2022 p. 8). Il s'agit d'un intérêt public important, qui pourrait justifier l'application immédiate du nouveau droit par le tribunal de céans. Cela étant, on relève que les précisions sur la protection du patrimoine arboré figureront dans un règlement d'application, qui n'est pas encore en vigueur (cf. rapport de la Commission chargée d'examiner l'EMPL, juillet 2022, p. 13-14). Dans ces conditions, l'application du nouveau droit au cas d'espèce apparaît problématique. Quoi qu'il en soit,  la question de l'application immédiate de cette nouvelle législation peut souffrir de rester indécise dans le cas présent, dès lors que le projet litigieux s'avère conforme tant à la aLPNS qu'à la LPrPNP, pour les raisons exposées ci-après. En application des principes de la aLPNS/aLPNMS, Prilly a adopté son règlement communal de protection des arbres (RPA), approuvé par le Conseil d'Etat le 20 novembre 1981. Vu l'art. 71 al. 5 LPrPNP, ce règlement s'applique dans le cas d'espèce. L'art. 3 RPA prévoit que sont protégés, d'une part, tous les arbres d'essence majeure, dont la circonférence mesurée à 1 m du sol est supérieure à 1 m et, d'autre part, les cordons boisés, haies, boqueteaux sur un plan annexé au règlement. Selon l'art. 10 RPA, on entend par arbre d'essence majeure toute espèce ou variété à moyen et grand développement, pouvant atteindre une hauteur de 10 m. ou d'avantage. L'art. 8 RPA prévoit qu'une autorisation d'abattage peut notamment être délivrée par la municipalité lorsque la construction d'un bâtiment conforme aux dispositions légales en vigueur serait rendue impossible. L'art. 9 RPA prévoit une arborisation compensatoire. Une disposition sur la plantation et la protection des arbres figure également dans le RPGA. L'art. 2.27 RPGA prévoit ainsi que le propriétaire doit planter au minimum un arbre d'essence majeure pour chaque tranche de 600 m 2 de surface cadastrale, à l'exception des parcelles situées dans le secteur du Centre déterminé en plan où les prescriptions particulières fixées demeurent réservées. Lorsque les circonstances ne le permettent pas, la Municipalité prescrit des mesures compensatoires b) Le projet implique l'abattage de deux arbres protégés par le règlement communal, soit un saule pleureur et un pin. Lors de la vision locale, il a pu être constaté que le saule pleureur n'est pas très stable et que, de manière générale, il n'est pas en bon état au niveau structurel, sanitaire et mécanique, ce qui peut notamment s'expliquer aussi bien par le fait qu'il est entré dans sa phase sénescente que par les nombreuses tailles qu'il a subies au cours de sa vie. Cet arbre, qu'on a dû commencer à haubaner, présente ainsi potentiellement un risque pour la sécurité. On relève également que, de par sa position sur la parcelle, le maintien de cet arbre impliquerait une réduction importante des droits à bâtir conférés par le règlement communal. Dans ces conditions, la pesée d'intérêt qui a abouti à l'autorisation d'abattage ne prête pas le flanc à la critique. Le même constat peut être fait en ce qui concerne le pin sis sur la parcelle n° 830. Cet arbre ne présente pas d'intérêt particulier au plan esthétique et biologique et le projet de construction sur cette parcelle implique nécessairement son abattage. En outre, son maintien affecterait de manière importante les droits à bâtir dont bénéficie cette parcelle. Pour ce qui est des haies vives présentes sur les parcelles n os 829 et 830, on relève que celles-ci ne sont pas protégées par le règlement communal et peuvent par conséquent être abattues. 4. Les recourants mettent en cause l'accès qui est prévu par le chemin des Fleurs. Ils relèvent que, vu sa largeur limitée à 5 m, les possibilités de croisement sont pratiquement inexistantes, ce qui poserait problème vu la longueur de ce chemin (près de 140 m). Ils soutiennent que le chemin des Fleurs ne sera pas à même d'absorber l'augmentation du trafic liée au projet. Ils soutiennent également que le débouché de ce chemin sur la route de Cossonay est dangereux. a) aa) En vertu de l'art. 22 al. 2 let. b LAT, une autorisation de construire ne peut être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et les réf. cit.; TF 1C_155/2019 du 11 décembre 2019 consid. 5.1; 1C_225/2017 du 16 janvier 2018 consid. 4.1 et les réf. cit.).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CDAP AC.2020.0126, 2020.0127, 2020.0128 du 11 mai 2021 consid. 3a; AC.2019.0056 du 5 décembre 2019 consid. 3; AC.2017.0333 du 16 mai 2018 consid. 6a). La pratique a précisé qu'il faut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Les autorités administratives disposent d'un important pouvoir d'appréciation, lorsqu'elles doivent se prononcer sur le caractère adapté d'un ouvrage d'équipement ( ATF 121 I 65 consid. 3a; TF 1C_216/2021 du 21 avril 2022 consid. 4.1 et les arrêts cités; CDAP AC.2022.0005 du 29 septembre 2022 consid. 5). Les autorités communales et cantonales peuvent par ailleurs se fonder sur les normes édictées par l'Union des professionnels suisses de la route, étant précisé que ces normes, non contraignantes, doivent être appliquées en fonction des circonstances concrètes et en accord avec les principes généraux du droit, dont celui de la proportionnalité (cf. TF 1C_589/2020 du 25 mars 2021 consid. 3.1; 1C_424/2019 du 2 avril 2020 consid. 3.1; 1C_155/2019 du 11 décembre 2019 consid. 5.1, et les références citées). bb) En application des principes qui précèdent, le Tribunal cantonal a considéré comme suffisant un accès d'une largeur variant entre 2,9 m et 4,2 m, sur une distance approximative de 200 m, desservant déjà quelque six immeubles d'habitation et nécessitant d'empiéter sur des parcelles privées en cas de croisement entre véhicules (CDAP AC.2009.0182 du 5 novembre 2010 consid. 4b). Il a également jugé que l’accès à un projet de construction restait suffisant au sens de la jurisprudence, notamment au regard du fait que le chemin litigieux était principalement, sinon exclusivement utilisé par les riverains qui connaissaient la configuration du site et les endroits nécessitant une attention plus soutenue (cf. CDAP AC.2011.0252 du 31 octobre 2012 consid. 4c; AC.2009.0182 du 5 novembre 2010 consid. 4b). Un chemin privé d’une centaine de mètres de long et dont la largeur oscillait entre 3 et 3,5 m, en partie asphalté, reste suffisant pour la construction d’un bâtiment de quatre logements (cf. CDAP AC.2012.0298 du 7 août 2013 consid. 3a; AC.2011.0088 du 5 octobre 2011 consid. 2d). Plus récemment, il a été jugé qu'un chemin d'accès goudronné d'une largeur estimée à 3 m au minimum sur toute sa longueur, dont la configuration ne sortait pas de l'ordinaire, qui desservirait quatorze places de stationnement supplémentaires, était conforme aux exigences posées par la loi et la jurisprudence et susceptible d'accueillir le trafic supplémentaire généré (cf. CDAP AC.2018.0212, AC.2018.0213 du 2 mai 2019 consid. 4d, confirmé par l'arrêt TF 1C_309/2019, 1C_310/2019 du 8 mai 2020 consid. 6). Le même constat a été fait en relation avec un projet de quatre logements et dix places de parc pour un chemin sans issue de 320 m large de 3 m en moyenne avec à un endroit un élargissement à 4,40 m permettant le croisement de deux véhicules, carrossable sur toute sa largeur, avec une bande roulante en béton d'une largeur d'environ 2.20 m et bordée d'une contre-pente franchissable du côté amont, desservant six villas à l'origine (cf. CDAP AC.2020.0082, 2021.0028 du 26 avril 2021). Il résulte également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déduire qu’elle permet des croisements; peu importe que les constructeurs ne soient pas au bénéfice d’un titre juridique pour les empiètements en cause (cf. CDAP AC.2018.0338 du 27 février 2020 consid. 3a; AC.2018.0140 du 6 février 2019 consid. 1b/aa; AC.2017.0378 du 20 août 2018 consid. 9b/bb; AC.2016.0268 du 12 février 2018 consid. 7b; AC.2016.0193 et AC.2016.0202 du 21 mars 2017 consid. 1a/bb, confirmé par l'arrêt TF 1C_225/2017 précité). Le Tribunal fédéral quant à lui a déjà jugé que dans certaines circonstances, un long chemin étroit (moins de 3 m) présentant à certains endroits une largeur de 2.20 m est suffisant, notamment s'il ne sert qu'aux riverains (voie sans issue) et s'il existe, aux endroits présentant peu de visibilité, des possibilités d'évitement, au besoin sur des parcelles de riverains qui y consentent (TF 1C_532/2010 du 29 mars 2011 consid. 2.5 cité par Eloi Jeannerat, in: Aemisegger Heinz et al . (édit.), Commentaire pratique LAT: Planifier l'affectation, Genève/Zurich/Bâle, 2016, n. 28 ad art. 19). Le Tribunal fédéral a également constaté que l'aptitude d'une voie d'accès à assurer la desserte d'une parcelle n'exige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(TF 1C_225/2017 du 16 janvier 2018 consid. 4.2; 1C_148/2009 du 29 juillet 2009; 1C_9/2009 du 24 mars 2009 consid. 4). dd) En vertu de la norme VSS 40 045 intitulée " Projet, bases – Type de route: routes de desserte ", édition de mars 2019, les chemins d'accès desservent de petites zones habitées jusqu'à 30 unités de logements, leur longueur devrait être limitée entre 40 et 80 m et les croisements entre une voiture de tourisme et un cycle devraient en principe être possible sur toute la longueur de la route à une vitesse très réduite ( cf. ch. 8 de la norme). Quant aux routes d'accès, elles desservent des zones habitées jusqu'à 150 unités de logements et les croisements entre voitures de tourisme doivent en principe être possibles à vitesse très réduite ( cf. ch. 8 de la norme). Caractérisés par un faible volume de circulation et des vitesses basses, tant les chemins d'accès (50 v/h) que les routes d'accès (100 v/h) peuvent ne comprendre qu'une seule voie; dans les deux cas, il s'agit de routes ouvertes qui servent aussi d'espace convivial, de loisir et de jeux, dont il convient de briser la régularité et l'uniformité dans le sens longitudinal pour modérer la vitesse des usagers et éviter de longs tronçons rectilignes incitant à une vitesse élevée ( cf. ch. 5 et 6 de la norme). ee) En définitive, l'aptitude d'une voie d'accès à assurer la desserte d'une parcelle ou d'un quartier dépend de l'ensemble des circonstances, étant entendu que les autorités communales disposent d'un grand pouvoir d'appréciation à cet égard (ATF 121 I 65; arrêt TF 1C_481/2018 du 20 mai 2020 consid. 7.1; 1C_155/2019 du 11 décembre 2019 consid. 5.1). b) La vision locale a permis de constater que des croisements sont possibles à plusieurs endroits du chemin des Fleurs qui, comme l'indiquent les recourants, présente une largeur de 5 m. Il y a lieu de relever au surplus que ce chemin est déjà utilisé par les occupants d'une vingtaine de logements, sans que cela semble poser de problème particulier. Or, le trafic supplémentaire lié aux 20 logements qui sont prévus ne devrait pas modifier cette situation de manière significative et il n'y a pas de raison de douter que le chemin des Fleurs sera à même d'absorber l'augmentation du trafic liée au projet litigieux. c) Les recourants mentionnent également un problème de dangerosité au débouché du chemin des Fleurs sur la route de Cossonay. Dans la décision attaquée, l'autorité intimée relève que la route de Cossonay est rectiligne, plate et dégagée et ne présente pas de danger particulier, ce qui a pu être vérifié lors de la vision locale. Quoi qu'il en soit, il s'agit d'une situation préexistante, sans lien suffisant avec la question de l'équipement des parcelles destinées à accueillir le projet litigieux. Il appartient cas échéant à l'autorité communale de prendre les mesures nécessaires (signalisation, feux, aménagement du carrefour) pour remédier à d'éventuels problèmes de sécurité, mesures qui devraient au demeurant être prises prochainement selon les indications données par la municipalité en relation avec les travaux de la ligne de bus à haut niveau de service (BHNS) prévue sur la route de Cossonay, puis son réaménagement. Cela étant, même si la situation au débouché du chemin des Fleurs sur la route de Cossonay devait poser un problème de sécurité, cela ne saurait mettre en cause le fait que les parcelles n os 829 et 5830 disposent d'un accès suffisant permettant d'utiliser les droits à bâtir conférés par le règlement communal. A défaut, on rendrait inconstructible des parcelles affectées en zone à bâtir pour des motifs qui n'ont pas de lien direct avec leur accessibilité et avec l'exigence posée à l'art. 19 LAT. d) Vu ce qui précède, le grief relatif à l'équipement de la parcelle doit également être écarté. 5.                Les recourantes mettent en cause le nombre de places de parc. a) aa) L'art. 2.17 al. 1 RPGA prévoit que le nombre de places de stationnement véhicules et vélos est fixé conformément à la norme de l'Association suisse des professionnels de la route (norme VSS) en vigueur. bb) La norme applicable est la VSS 40 281. Pour l'affectation au logement (art. 9), celle-ci prévoit pour les habitants une case de stationnement par 100 m 2 de SBP ou une case de stationnement par appartement. Pour les visiteurs, il faut ajouter 10% du nombre de cases de stationnement pour les habitants. Il est précisé qu'il s'agit de valeurs indicatives. b) En l'occurrence, selon les chiffres, non contestés, figurant dans la décision attaquée, le projet prévoit la création de 20 logements et 2662,40 m 2 de SBP. Les 21 places de parc prévues sont par conséquent conformes à la norme VSS 40 281. c) Les recourantes soutiennent que, vu la qualité de la desserte en transports publics, notamment le projet d'axe fort prévoyant un bus à haut niveau de service qui va desservir la route de Cossonay, le nombre de places de parc devrait être réduit. Il est vrai que l'art. 9.4 de la norme VSS 40 281 prévoit qu'il peut être judicieux de s'écarter des valeurs indicatives afin de tenir compte de conditions particulières. Sur cette base, un projet avec un nombre moins important de places de parc aurait pu être admis compte tenu de la qualité de la desserte en transports publics (actuelle et future). Cela étant, vu la teneur de l'art. 2.17 al. 1 RPGA, une telle réduction ne peut pas être imposée à un constructeur qui veut réaliser le nombre de places de parc correspondant aux valeurs indicatives de l'art. 9.de la norme VSS 40 281 pour une affectation au logement 6.                Les considérants qui précèdent conduisent au rejet des recours et à la confirmation de la décision attaquée. Succombant, les recourants supporteront les frais de la cause et n'ont pas droit à des dépens. Ils verseront en outre des dépens à la Commune de Prilly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