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AC.2022.0380 vom 16. Januar 2024</w:t>
      </w:r>
    </w:p>
    <w:p>
      <w:r>
        <w:t>VD Tribunal cantonal, 2024-01-16, FR</w:t>
      </w:r>
    </w:p>
    <w:p>
      <w:r>
        <w:rPr>
          <w:b/>
        </w:rPr>
        <w:t xml:space="preserve">Quelle: </w:t>
      </w:r>
      <w:r>
        <w:t>https://mcp.opencaselaw.ch/entscheid/vd_omni_AC.2022.0380</w:t>
      </w:r>
    </w:p>
    <w:p>
      <w:r>
        <w:t>FR: VD_OMNI AC.2022.0380 du 16 janvier 2024</w:t>
      </w:r>
    </w:p>
    <w:p>
      <w:r>
        <w:t>IT: VD_OMNI AC.2022.0380 del 16 gennaio 2024</w:t>
      </w:r>
    </w:p>
    <w:p>
      <w:pPr>
        <w:pStyle w:val="Heading2"/>
      </w:pPr>
      <w:r>
        <w:t>Regeste</w:t>
      </w:r>
    </w:p>
    <w:p>
      <w:r>
        <w:t>A.________, B.________/Municipalité de Bournens, Direction générale des immeubles et du patrimoine, Direction générale du territoire et du logement, Direction générale de l'environnement DGE-DIREN | Recours des propriétaires contre la décision de la municipalité autorisant leur projet de panneaux solaires en toiture aux conditions impératives fixées par la DGIP dans son autorisation spéciale, ainsi que contre la décision de la DGTL facturant les émoluments de la DGIP et de la synthèse CAMAC y relatifs. Bâtiment en note 2 figurant à l'inventaire cantonal des monuments non classés mais protégés en vertu de l'art. 49 aLPNMS. Les recourants contestent que leur projet soit soumis à autorisation (art. 18a al. 2 let. b ou al. 3 LAT). Questions laissées ouvertes ici (consid. 2 et 3). Les motifs de protection patrimoniale retenus par la DGIP pour imposer une implantation de l'installation solaire sur la partie basse et réveillonnée du toit, en lieu et place de l'implantation sur la partie supérieure du toit projetée par les recourants, sont disproportionnés au vu des circonstances d'espèce et ne sauraient l'emporter sur l'intérêt prépondérant à l'utilisation de l'énergie solaire, conformément à l'art. 18a al. 4 LAT (consid. 4). La décision de la DGTL fixant les émoluments est confirmée (consid. 5). Admission partielle du recours. L'autorisation spéciale requise est délivrée sans conditions et la décision de la municipalité est confirmée dans cette mesure.</w:t>
      </w:r>
    </w:p>
    <w:p>
      <w:pPr>
        <w:pStyle w:val="Heading2"/>
      </w:pPr>
      <w:r>
        <w:t>Erwägungen</w:t>
      </w:r>
    </w:p>
    <w:p>
      <w:r>
        <w:rPr>
          <w:b/>
        </w:rPr>
        <w:t>E. 1</w:t>
      </w:r>
    </w:p>
    <w:p>
      <w:r>
        <w:t>La décision d'une municipalité qui octroie le permis de construire en le soumettant aux conditions fixées dans l'autorisation spéciale délivrée par l'autorité cantonale en vertu de l'art. 120 al. 1 let. d de la loi du 4 décembre 1985 sur l'aménagement du territoire et les constructions (LATC; BLV 700.11) peut faire l'objet d'un recours de droit administratif au sens des art. 92 ss de la loi du 28 octobre 2008 sur la procédure administrative (LPA-VD; BLV 173.36). Le recours est intervenu en temps utile (cf. art. 95 LPA-VD) et respecte les conditions formelles énoncées à l’art. 79 LPA-VD (applicable par renvoi de l'art. 99 LPA-VD). Les propriétaires, qui contestent les conditions auxquelles est soumis le permis de construire ont manifestement qualité pour recourir (art. 75 let. a LPA-VD, par renvoi de l'art. 99 LPA-VD). Il y a ainsi lieu d'entrer en matière.</w:t>
      </w:r>
    </w:p>
    <w:p>
      <w:r>
        <w:rPr>
          <w:b/>
        </w:rPr>
        <w:t>E. 2</w:t>
      </w:r>
    </w:p>
    <w:p>
      <w:r>
        <w:t>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Les communes ont l'obligation de solliciter son avis avant de refuser une installation solaire ou un assainissement énergétique.</w:t>
      </w:r>
    </w:p>
    <w:p>
      <w:r>
        <w:rPr>
          <w:b/>
        </w:rPr>
        <w:t>E. 5</w:t>
      </w:r>
    </w:p>
    <w:p>
      <w:r>
        <w:t>[...]¨</w:t>
      </w:r>
    </w:p>
    <w:p>
      <w:r>
        <w:rPr>
          <w:b/>
        </w:rPr>
        <w:t>E. 6</w:t>
      </w:r>
    </w:p>
    <w:p>
      <w:r>
        <w:t>En définitive, le recours est partiellement admis et la décision attaquée rendue par la DGIP le 12 octobre 2022 est réformée en ce sens que l'autorisation spéciale est délivrée sans conditions . La décision de la municipalité du 25 octobre 2022 est confirmée dans cette mesure. La décision de la DGTL du 13 octobre 2022 est également confirmée. Vu l'issue de la cause, il se justifie de statuer sans frais (cf. art. 49, 52, 91 et 99 LPA-VD). Les recourants, assistés par un avocat, ont droit à des dépens partiels à la charge de l'Etat de Vaud, par la DGIP (cf.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