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AC.2022.0358 vom 14. März 2023</w:t>
      </w:r>
    </w:p>
    <w:p>
      <w:r>
        <w:t>VD Tribunal cantonal, 2023-03-14, FR</w:t>
      </w:r>
    </w:p>
    <w:p>
      <w:r>
        <w:rPr>
          <w:b/>
        </w:rPr>
        <w:t xml:space="preserve">Quelle: </w:t>
      </w:r>
      <w:r>
        <w:t>https://mcp.opencaselaw.ch/entscheid/vd_omni_AC.2022.0358</w:t>
      </w:r>
    </w:p>
    <w:p>
      <w:r>
        <w:t>FR: VD_OMNI AC.2022.0358 du 14 mars 2023</w:t>
      </w:r>
    </w:p>
    <w:p>
      <w:r>
        <w:t>IT: VD_OMNI AC.2022.0358 del 14 marzo 2023</w:t>
      </w:r>
    </w:p>
    <w:p>
      <w:pPr>
        <w:pStyle w:val="Heading2"/>
      </w:pPr>
      <w:r>
        <w:t>Regeste</w:t>
      </w:r>
    </w:p>
    <w:p>
      <w:r>
        <w:t>A.________ /Municipalité de Coppet | Recours contre le refus de la municipalité d'autoriser l'abattage d'un arbre. Droit intertemporel: l'autorité de recours applique le droit en vigueur au jour où l'autorité administrative a statué, soit l'ancienne LPNS (consid. 2a). L'intérêt public au maintien d'un arbre protégé et en bonne santé l'emporte sur l'intérêt de la recourante à son abattage, cette dernière n'ayant pas démontré que l'arbre litigieux constituait une menace pour la sécurité des personnes et des biens (consid. 2b). Rejet du recours.</w:t>
      </w:r>
    </w:p>
    <w:p>
      <w:pPr>
        <w:pStyle w:val="Heading2"/>
      </w:pPr>
      <w:r>
        <w:t>Erwägungen</w:t>
      </w:r>
    </w:p>
    <w:p>
      <w:r>
        <w:rPr>
          <w:b/>
        </w:rPr>
        <w:t>E. 1</w:t>
      </w:r>
    </w:p>
    <w:p>
      <w:r>
        <w:t>La décision attaquée peut faire l'objet d'un recours de droit administratif au Tribunal cantonal au sens des art. 92 ss de la loi du 28 octobre 2008 sur la procédure administrative (LPA-VD; BLV 173.36) car elle est fondée sur des normes de droit public, à savoir sur des dispositions de l'ancienne loi du 10 décembre 1969 sur la protection de la nature et des sites (aLPNS; anciennement LPNMS, en vigueur jusqu'au 31 décembre 2021) et du règlement du 22 mars 1989 d'application de la LPNS (RLPNS; BLV 450.11.1). Le propriétaire foncier qui n'obtient pas l'autorisation d'abattre un arbre situé sur sa propre parcelle et protégé en vertu des dispositions précitées, a qualité pour recourir (art. 75 let. a LPA-VD, par renvoi de l'art. 99 LPA-VD). Déposé en temps utile (art. 95 LPA-VD), le recours respecte en outre les conditions formelles de recevabilité. Il y a donc lieu d'entrer en matière sur le fond.</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le voisin subit un préjudice grave du fait de la plantation;</w:t>
      </w:r>
    </w:p>
    <w:p>
      <w:r>
        <w:rPr>
          <w:b/>
        </w:rPr>
        <w:t>E. 4</w:t>
      </w:r>
    </w:p>
    <w:p>
      <w:r>
        <w:t>RPA prévoit à cet égard que la municipalité peut également accorder l'autorisation d'abattage lorsque: - la salubrité d'un bâtiment est compromise; - l'entretien d'un immeuble est rendu excessif; - la sécurité des habitants ou du public n'est plus assurée; - la réalisation d'installations revêtant un caractère d'intérêt général est compromise. L'autorité doit tenir compte de l'ensemble des circonstances et mettre en balance l'intérêt public à la conservation de l'objet protégé avec celui de l'administré à sa suppression. Dans le cadre de cette pesée d'intérêts, il convient notamment de tenir compte de l'importance de la fonction esthétique ou biologique des plantations en cause, de leur âge, de leur situation dans l'agglomération et de leur état sanitaire (CDAP AC.2021.0060 précité consid. 2b; AC.2020.0059 du 2 février 2021 consid. 2d; AC.2019.0263 du 17 décembre 2020 consid. 3a/aa et les références citées). c) En l'occurrence, la recourante expose que l'arbre planté sur sa parcelle, long et fin, pourrait, en cas d'intempéries, tomber et, dans sa chute, causer des dégâts importants à la propriété voisine (parcelle n o 1310) ou aux voies ferrées construites à proximité immédiate de la parcelle n o 472. L'épicéa constitue donc, pour la recourante, une menace pour la sécurité des propriétés et des infrastructures ferroviaires alentours, de sorte que son abattage est justifié. Pour sa part, la municipalité ne voit aucune raison d'abattre cet arbre protégé et en bon état sanitaire. L'arbre litigieux a été planté, selon les allégations de la recourante, au début des années 2000, peu après que cette dernière et son époux ont acquis la propriété de la parcelle n o 472. Il est donc encore jeune (environ une vingtaine d'années) et dispose d'une espérance de vie importante: d'une hauteur de 14 m, il dépassera les 30 m dans quelques années. Outre qu'il est protégé (le diamètre de son tronc dépasse 25 cm à un mètre trente au sol), l'arbre est également en bonne santé – le contraire n'ayant jamais été allégué –, ce qui constitue également un élément pertinent dans le cadre de la pesée des intérêts. Le seul motif que fait valoir la recourante à l'appui de sa requête est d'ordre sécuritaire. Les potentiels risques de chutes évoqués dans ses écritures ne sont toutefois pas établis: la recourante n'a produit aucun rapport d'expertise susceptible d'étayer ses dires, se bornant à exposer que l'entreprise B.________, venue sur place pour examiner l'arbre, partageait ses craintes, ce qui, sous l'angle de la preuve, est insuffisant pour justifier l'abattage du sapin. Il ne ressort pas non plus des photographies figurant au dossier que l'arbre litigieux constituerait une menace pour la sécurité des personnes ou des biens. La recourante admet du reste que le danger représenté par l'arbre n'est " pas imminent pour l'instant ". Il faut donc retenir que la menace pour la sécurité est abstraite et les risques de chutes, de même que les dégâts que causerait l'arbre en tombant sur le terrain de la propriété voisine ou sur les infrastructures ferroviaires, hypothétiques. Dans la mise en balance des intérêts en présence, celui de la recourante, très faible, ne saurait ainsi prévaloir sur l'intérêt public à maintenir un arbre protégé et en bonne santé. Dans ces conditions, l'appréciation de l'autorité intimée, qui estime que l'intérêt public au maintien de l'arbre litigieux l'emporte sur l'intérêt de la recourante à son abattage n'est pas critiquable. Sa décision qui respecte le droit communal et cantonal en matière de protection des arbres doit ainsi être confirmée. 3. Il ressort de ce qui précède que le recours, mal fondé, doit être rejeté, et la décision attaquée confirmée. Un émolument judiciaire est mis à la charge de la recourante, qui succombe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