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AC.2022.0348 vom 28. November 2023</w:t>
      </w:r>
    </w:p>
    <w:p>
      <w:r>
        <w:t>VD Tribunal cantonal, 2023-11-28, FR</w:t>
      </w:r>
    </w:p>
    <w:p>
      <w:r>
        <w:rPr>
          <w:b/>
        </w:rPr>
        <w:t xml:space="preserve">Quelle: </w:t>
      </w:r>
      <w:r>
        <w:t>https://mcp.opencaselaw.ch/entscheid/vd_omni_AC.2022.0348</w:t>
      </w:r>
    </w:p>
    <w:p>
      <w:r>
        <w:t>FR: VD_OMNI AC.2022.0348 du 28 novembre 2023</w:t>
      </w:r>
    </w:p>
    <w:p>
      <w:r>
        <w:t>IT: VD_OMNI AC.2022.0348 del 28 novembre 2023</w:t>
      </w:r>
    </w:p>
    <w:p>
      <w:pPr>
        <w:pStyle w:val="Heading2"/>
      </w:pPr>
      <w:r>
        <w:t>Regeste</w:t>
      </w:r>
    </w:p>
    <w:p>
      <w:r>
        <w:t>A.________/CONSEIL COMMUNAL DE MONTREUX, Département des institutions, du territoire et du sport (DITS) | Rejet du recours dirigé contre le plan des zones réservées de Montreux. Qualité pour recourir douteuse (intérêt indirect). La réglementation des zones réservées, dont la portée est uniquement négative, n'accroît pas les possibilités de bâtir. L'autorité qui délivre les permis de construire ne peut pas renoncer à appliquer le règlement actuellement valable pour la zone. La complexité de la situation créée à Montreux par les arrêts du TF annulant le nouveau PGA permet aux autorités communales de justifier l'adoption de zones réservées. Pas d'inégalité de traitement.</w:t>
      </w:r>
    </w:p>
    <w:p>
      <w:pPr>
        <w:pStyle w:val="Heading2"/>
      </w:pPr>
      <w:r>
        <w:t>Erwägungen</w:t>
      </w:r>
    </w:p>
    <w:p>
      <w:r>
        <w:rPr>
          <w:b/>
        </w:rPr>
        <w:t>E. 1</w:t>
      </w:r>
    </w:p>
    <w:p>
      <w:r>
        <w:t>a) La contestation porte sur un plan de zones réservées. L'art. 46 de la loi du 4 décembre 1985 sur l'aménagement du territoire et les constructions (LATC; BLV 700.11) dispose que les communes peuvent établir des zones réservées selon l'art. 27 LAT [loi fédérale sur l'aménagement du territoire, RS 700] (al. 1), la procédure d'approbation étant celle des plans d'affectation (al. 2). Cela signifie que le plan doit, après l'enquête publique,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la recourante conteste la décision d'approbation du département cantonal, sans attaquer expressément la décision du conseil communal adoptant le plan des zones réservées. Il faut cependant considérer que le recours est dirigé contre ces deux décisions qui, en vertu du droit cantonal, sont notifiées de manière coordonnée et peuvent ensemble faire l'objet d'un contrôle judiciaire. b) Dans le régime du droit cantonal vaudois, comme cela vient d'être exposé, la procédure d'établissement d'un plan de zone réservée correspond à celle du plan d'affectation.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CDAP AC.2020.0065 du 15 mars 2021 consid. 1). En l'espèce, la recourante critique essentiellement les effets de la réglementation des zones réservées, en tant que cette dernière laisse la possibilité de surélever certains bâtiments, ce qui, selon elle, serait susceptible d'aggraver la situation de surdimensionnement de la commune de Montreux. Il n'est pas évident de déterminer en quoi, vu son argumentation, elle se plaint d'une véritable restriction de son droit de propriété ou atteinte à sa situation de propriétaire, découlant directement de la mesure conservatoire litigieuse (à propos de la portée juridique d'une zone réservée, cf. infra consid. 2). On discerne, dans sa motivation, un intérêt indirect: en substance, dans l'hypothèse où des nouvelles surfaces habitables créées dans les cinq prochaines années sur d'autres biens-fonds auraient une influence déterminante sur la définition des conditions de construction sur les parcelles n os 4161 et 4833, situées dans un périmètre central d'une agglomération (et donc en principe dans un secteur où une utilisation suffisamment dense du sol doit être assurée), et dans l'hypothèse également où l'indice d'utilisation du sol fixé par le nouveau PACom pour ces deux parcelles serait réduit à cause de ces nouvelles surfaces habitables récentes, selon une sorte de mécanisme de vases communicants, mais sans réflexion globale d'aménagement du territoire ni prise en compte de l'intérêt à la densification des centres cantonaux ou régionaux, la recourante pourrait éventuellement, au terme de la procédure d'établissement du PACom, obtenir des possibilités d'utilisation de sa propriété moins favorables. Or cette réflexion, basée sur plusieurs conjectures, ne paraît pas propre à démontrer la réalisation des conditions de l'art. 75 let. a LPA-VD. La question de la qualité pour recourir peut toutefois, vu l'issue de la cause, demeurer indécise. Les autres exigences légales de recevabilité du recours étant manifestement remplies, il y a lieu d'entrer en matière.</w:t>
      </w:r>
    </w:p>
    <w:p>
      <w:r>
        <w:rPr>
          <w:b/>
        </w:rPr>
        <w:t>E. 2</w:t>
      </w:r>
    </w:p>
    <w:p>
      <w:r>
        <w:t>La recourante estime que " les zones réservées 3 à 6 contiennent des règles de planification positive, permettant la surélévation de certains bâtiments, voire des démolitions-reconstructions avec des surélévations importantes ". Elle en déduit que la zone réservée, au lieu de prévoir un effet anticipé négatif, impliquerait en réalité un effet anticipé positif, contraire aux art. 27 LAT et 46 LATC: selon la recourante, le plan de zone réservées régit l'affectation du sol, puisqu'il organise déjà les possibilités de bâtir, " sous la forme d'un programme général de surélévation ". En outre, la mesure litigieuse accroîtrait, de par ces possibilités, le surdimensionnement de la zone à bâtir montreusienne. La recourante expose enfin que le plan de zone réservée est contraire aux principes constitutionnels de l'égalité de traitement et de la proportionnalité. a) Le litige porte essentiellement sur la question de savoir si la réglementation de la zone réservée 3, à laquelle sont soumises les parcelles de la recourante, accroît les possibilités de bâtir. Il convient d'emblée de relever que le périmètre général de la zone réservée 3 couvre environ 200 ha, cette mesure s'appliquant à différentes zones du PGA 1972, mais également, comme en l'espèce, au périmètre de plans d'affectation spéciaux. Il est vraisemblable que la réglementation critiquée limitant le nombre de niveaux dans la zone réservée 3 soit, dans certains cas, plus restrictive que les règles actuelles. Il n'est cependant pas nécessaire d'examiner plus avant cette question, ni de déterminer précisément en quoi, dans la zone de villas II, les réglementations du PEP "A Chailly-Baugy-Les Crêtes-Beau Regard" et de la zone réservée 3 divergent concrètement. b) L'art.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l'art. 27 LAT,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La LATC prévoit encore d'autres mesures conservatoires aux art. 47 et 49 LATC, qui n'ont pas comme la zone réservée une portée générale, mais qui permettent de refuser ponctuellement une autorisation de construire quand le projet compromet une modification de plan d'affectation envisagée. La doctrine retient que les zones réservées déploient uniquement une portée négative (" nur negative Bedeutung "; cf. Alexander Ruch, Commentaire pratique LAT: Planifier l'affectation, Genève-Zurich-Bâle 2106, Art. 27 N. 26 [aussi en allemand]). C'est en effet bien le sens de l'art. 27 LAT – ainsi que de l'art. 46 LATC, qui n'a pas une portée différente – de ne pas modifier directement le régime de la zone à bâtir (pas d'effet positif), de sorte que l'autorité compétente ne saurait, sur la base de la seule mesure conservatoire, délivrer une autorisation de construire ne respectant pas strictement la réglementation actuelle. En d'autres termes, même si le règlement de la zone réservée 3 est moins contraignant que celui du PEP "A Chailly-Baugy-Les Crêtes-Beau Regard" pour la zone de villas II à propos du gabarit des bâtiments à transformer ou à reconstruire – lorsque de tels projets ne sont pas réputés entraver l'établissement du futur plan d'affectation –, l'autorité qui délivre les permis de construire ne peut pas renoncer à appliquer le règlement actuellement valable pour la zone de villas II. C'est pourquoi les critiques de la recourante à propos de l'effet prétendument positif de la zone réservée 3 ne sont pas concluantes, cette mesure conservatoire n'étant pas susceptible d'affaiblir la réglementation du PEP "A Chailly-Baugy-Les Crêtes-Beau Regard". Dès lors que le plan de zone réservée litigieux est dépourvu de portée positive, le grief que la recourante tire de son impact supposé sur le surdimensionnement de la zone à bâtir ne peut être qu'écarté, de même que ses longs développements sur la méthode automatique de détermination des réserves (MADR), qu'elle critique. La question de la MADR est non pertinente en l'espèce: l'application à une parcelle du régime de la zone réservée n'équivaut pas à une mesure d'aménagement du territoire comme l'affectation en zone à bâtir ou dans une autre zone (art. 14 ss LAT). Au regard du droit fédéral, il suffit que cette mesure conservatoire respecte les exigences de l'art. 27 LAT (incluant le principe de la proportionnalité). Il n'incombe donc pas à l'autorité de planification de mettre en œuvre, dans ce cadre, les principes d'aménagement du plan directeur cantonal, ni d'effectuer une pesée générale des intérêts destinée à déterminer quelle serait, en définitive, la mesure d'aménagement adéquate pour le terrain concerné. Ces questions seront examinées par les autorités de planification dans la procédure d'établissement proprement dite du nouveau PACom. c) La recourante ne remet pas en cause, de manière générale, la nécessité de prendre des mesures conservatoires, dans la situation créée à Montreux par les arrêts du Tribunal fédéral du 16 avril 2020. La complexité de cette situation, bien plus que le surdimensionnement de la zone à bâtir, permet aux autorités communales de justifier l'adoption d'une zone réservée pour les secteurs dont le régime juridique avait été défini en 1972, mais n'avait pas été revu ni adapté après l'entrée en vigueur de la LAT en 1980, ainsi que pour les secteurs régis par une planification postérieure que les autorités d'aménagement estiment à ce stade obsolète. Aussi l'établissement de zones réservées sur le territoire communal n'est-il pas critiquable car les autorités planificatrices ont bien appliqué l'art. 27 LAT; cette mesure conservatoire est en d'autres termes nécessaire et, comme telle, proportionnée. d) La recourante se dit enfin victime d'une inégalité de traitement: elle expose que la réglementation relative aux différentes zones réservées (3, 4, 5 et 6) prévoit des possibilités de surélévation différentes selon les secteurs, alors que ces secteurs, tous compris dans l'agglomération montreusienne, ne diffèrent pas significativement l'un de l'autre. Or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Cela vaut a fortiori pour une mesure d'aménagement conservatoire ou provisoire, telle que la zone réservée. En l'occurrence, la zone réservée 3 s'applique à un secteur délimité du territoire montreusien, à l'écart des rives du lac Léman, essentiellement compris entre les voies ferrées, en aval, et l'autoroute A9 en amont. Ce secteur à caractère résidentiel est à l'évidence suffisamment différent du centre-ville de Montreux (zone réservée 5), de la localité de Clarens (zone réservée 4) ou de celle de Territet (zone réservée 6) pour justifier l'application d'une réglementation différente. À tout le moins, les autorités planificatrices n'ont pas versé dans l'arbitraire en prévoyant des possibilités de construire (légèrement) différentes pour des secteurs qui ont, en définitive, leurs caractéristiques propres. Quant à la prétendue inégalité de traitement à l'intérieur de la zone 3 elle-même (les recourants estiment que la réglementation de la zone réservée interdit aux propriétaires d'une parcelle non construite d'ériger un bâtiment, alors qu'il est possible, pour les propriétaires de constructions existantes, de procéder à leur surélévation), il y a lieu d'admettre que la nature de la parcelle (construite ou non) est un motif sérieux et objectif qui justifie des mesures conservatoires quelque peu différentes, s'agissant des possibilités réglementaires. Cette règle permet en particulier d'éviter que des projets de construction concernant des parcelles non bâties viennent entraver la liberté de planifier (le cas échéant de dézoner) de l'autorité en charge de l'aménagement du territoire. Les zones réservées critiquées par la recourantes n'ont donc pas été établies en violation des normes pertinentes du droit fédéral et du droit cantonal.</w:t>
      </w:r>
    </w:p>
    <w:p>
      <w:r>
        <w:rPr>
          <w:b/>
        </w:rPr>
        <w:t>E. 3</w:t>
      </w:r>
    </w:p>
    <w:p>
      <w:r>
        <w:t>Il s'ensuit que le recours, mal fondé, doit être rejeté, dans la mesure où il est recevable. Cela entraîne la confirmation des décisions rendues respectivement par le conseil communal et le département cantonal. La recourante, qui succombe, doit supporter les frais de justice (art. 49 LPA-VD). Il n'y a pas lieu d'allouer des dépens, les autorités intimées n'ayant pas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