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AC.2022.0330 vom 10. November 2023</w:t>
      </w:r>
    </w:p>
    <w:p>
      <w:r>
        <w:t>VD Tribunal cantonal, 2023-11-10, FR</w:t>
      </w:r>
    </w:p>
    <w:p>
      <w:r>
        <w:rPr>
          <w:b/>
        </w:rPr>
        <w:t xml:space="preserve">Quelle: </w:t>
      </w:r>
      <w:r>
        <w:t>https://mcp.opencaselaw.ch/entscheid/vd_omni_AC.2022.0330</w:t>
      </w:r>
    </w:p>
    <w:p>
      <w:r>
        <w:t>FR: VD_OMNI AC.2022.0330 du 10 novembre 2023</w:t>
      </w:r>
    </w:p>
    <w:p>
      <w:r>
        <w:t>IT: VD_OMNI AC.2022.0330 del 10 novembre 2023</w:t>
      </w:r>
    </w:p>
    <w:p>
      <w:pPr>
        <w:pStyle w:val="Heading2"/>
      </w:pPr>
      <w:r>
        <w:t>Regeste</w:t>
      </w:r>
    </w:p>
    <w:p>
      <w:r>
        <w:t>A.________ et B.________ /CONSEIL COMMUNAL DE MONTREUX, Département des institutions, du territoire et du sport (DITS) | Rejet du recours dirigé contre le plan des zones réservées de Montreux. Qualité pour recourir douteuse: les recourants ne critiquent pas le classement de leur parcelle en zone réservée, mais le refus des autorités de planification d'intégrer le périmètre du PPA "Les Grands Prés" dans le plan des zones réservées (c. 1). La commune pouvait adopter le plan litigieux, même si elle est un propriétaire foncier sur son territoire (c. 2). Les recourants ont pu participer à l'élaboration du plan à satisfaction de droit (opposition, conciliation) (c. 3). Le choix des autorités communales de ne pas inclure dans la zone réservée le périmètre du PPA "Les Grands Prés" n'est pas arbitraire; il n'est pas non plus arbitraire d'avoir intégré, dans le plan litigieux, le secteur dans lequel se trouve la parcelle des recourants, cette solution reposant sur des motifs objectifs (densification) (c. 4).</w:t>
      </w:r>
    </w:p>
    <w:p>
      <w:pPr>
        <w:pStyle w:val="Heading2"/>
      </w:pPr>
      <w:r>
        <w:t>Erwägungen</w:t>
      </w:r>
    </w:p>
    <w:p>
      <w:r>
        <w:rPr>
          <w:b/>
        </w:rPr>
        <w:t>E. 1</w:t>
      </w:r>
    </w:p>
    <w:p>
      <w:r>
        <w:t>Le Tribunal cantonal examine d'office et librement la recevabilité des recours qui lui sont soumis. a) La contestation porte sur un plan de zones réservées. L'art. 46 de la loi du 4 décembre 1985 sur l'aménagement du territoire et les constructions (LATC; BLV 700.11) dispose que les communes peuvent établir des zones réservées selon l'art. 27 LAT (al. 1), la procédure d'approbation étant celle des plans d'affectation (al. 2). Cela signifie que le plan doit, après l'enquête publique, être transmis par la municipalité au conseil communal qui doit se prononcer et le cas échéant adopter le plan; ce conseil doit simultanément statuer sur les projets de réponse aux oppositions (art. 42 LATC). Ensuite, il incombe au département cantonal d'approuver le plan adopté par le conseil (art. 43 al. 1 LATC). L'art. 43 al. 2 LATC dispose alors ce qui suit: " la décision du département et les décisions communales sur les oppositions sont notifiées par écrit à la municipalité et aux opposants. Ces décisions sont susceptibles d'un recours au Tribunal cantonal avec libre pouvoir d'examen ". Le recours mentionné à l'art. 43 al. 2 LATC est le recours de droit administratif selon les art. 92 ss de la loi du 28 octobre 2008 sur la procédure administrative (LPA-VD; BLV 173.36). On peut déduire des conclusions et de l'argumentation des recourants qu'ils attaquent ces deux décisions. Leur recours a été déposé en temps utile (art. 95 LPA-VD), leur courrier respectant manifestement les autres exigences formelles. b) D'après la jurisprudence,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Deux hypothèses entrent alors en considération: celle où le recourant critique la réglementation applicable dans le voisinage de sa propriété, et celle où le recourant se plaint du régime applicable à son propre immeuble. Le propriétaire d'un bien-fonds compris dans le périmètre du plan peut recourir en demandant l'annulation de mesures comportant des restrictions de l'usage de son propre bien-fonds ou de l'exercice de son droit de propriété. Il faut alors que l'admission du recours lui procure un avantage pratique; le propriétaire ne peut pas contester des éléments du plan en invoquant l'intérêt public ou l'intérêt général à la bonne application du droit, quand l'annulation ou la modification de ces mesures d'aménagement ne lui serait pas directement favorable (cf. ATF 141 II 50 consid. 2.1; CDAP AC.2021.0351 du 11 juillet 2022 consid. 1c). Par ailleurs, la jurisprudence reconnaît généralement la qualité pour recourir au propriétaire voisin, qui conteste les possibilités de construire accordées par un nouveau plan d'affectation en invoquant les inconvénients ou les nuisances qu'il subirait directement (cf. notamment TF 1C_180/2019 du 16 mars 2021 consid. 1; CDAP AC.2020.0065 du 15 mars 2021 consid. 1). Dans le cas particulier, l'inclusion de la propriété des recourants dans le périmètre de la zone réservée 3 entraîne des restrictions du droit de propriété, en limitant provisoirement les possibilités de construire. Sous cet angle, les recourants peuvent justifier d'un intérêt digne de protection au sens de l'art. 75 let. a LPA-VD. Néanmoins, dans leurs conclusions, ils ne demandent pas que cette mesure conservatoire soit annulée, de sorte qu'il est douteux qu'elle fasse partie de l'objet du litige. La question de la recevabilité n'est pas non plus évidente en ce qui concerne leurs conclusions et les critiques relatives à l'affectation du secteur des "Grands Prés". Le plan litigieux ne modifie pas, pour ce secteur, le régime applicable en vertu du PPA de 2018. Il est donc douteux que le statu quo dans la planification, c'est-à-dire l'absence d'une mesure conservatoire générale fondée sur l'art. 27 LAT (ou l'art. 46 LATC), porte en l'état une atteinte directe et concrète aux intérêts des recourants. Ceux-ci ne contestent en effet pas ici une révision du statut du sol sur la parcelle voisine, ni une décision autorisant la construction aux "Grands Prés"; en pareil cas, ils pourraient du reste non seulement contester la légalité du permis de construire mais encore demander la mise en oeuvre de mesures conservatoires spécifiques, en cas d'évolution des circonstances jusque-là (cf. art. 47 et 49 LATC). Quoi qu'il en soit, ces questions de recevabilité peuvent demeurer indécises. Sous ces réserves, il y a lieu d'entrer en matière.</w:t>
      </w:r>
    </w:p>
    <w:p>
      <w:r>
        <w:rPr>
          <w:b/>
        </w:rPr>
        <w:t>E. 2</w:t>
      </w:r>
    </w:p>
    <w:p>
      <w:r>
        <w:t>Dans un grief de caractère formel, les recourants se plaignent d'une " violation de l'interdiction de l'arbitraire en lien avec l'absence de dessaisissement du dossier ". Ils font valoir que le terrain du PPA "Les Grands Prés" appartient à la commune de Montreux et que celle-ci " ne peut manifestement, dans une situation contentieuse, analyser objectivement les choses en étant à la fois propriétaire du terrain et autorité statuant sur le zonage du même terrain ". En réalité, dès lors que le périmètre du PPA précité n'a pas été mis en zone réservée, les recourants reprochent plutôt aux autorités communales d'avoir omis de prendre une mesure d'aménagement. Aussi envisagent-ils, d'après leurs conclusions, qu'une autre commune puisse être désignée pour traiter le dossier des zones réservées. Les recourants ne prétendent pas qu'en adoptant le plan des zones réservées, le conseil communal in corpore aurait violé une prescription du droit cantonal relative à la récusation. Les dispositions sur la récusation sont, en principe, moins sévères pour les membres des autorités administratives et gouvernementales que pour les autorités judiciaires. L'art. 29 al. 1 de la Constitution fédérale (Cst.; RS 101) n'impose en effet pas l'indépendance et l'impartialité comme maxime d'organisation des autorités gouvernementales, administratives ou de gestion et n'offre pas, dans ce contexte, une garantie équivalente à celle applicable aux tribunaux. Dans une procédure d'aménagement du territoire, les représentants d'une commune n'ont pas l'obligation de principe de se récuser lorsqu'ils statuent sur des projets de construction dont leur commune est le maître d'œuvre; ce faisant, ils poursuivent en effet des intérêts publics et n'agissent pas en fonction de leurs intérêts personnels. Par ailleurs, une demande de récusation doit en principe être dirigée contre des personnes physiques déterminées – susceptibles de connaître une situation de conflit d'intérêts privés – et non contre une autorité dans son ensemble (ces principes résultent de la jurisprudence, voir notamment ATF 140 I 326 consid. 5.2, 125 I 209 consid. 8a, 122 II 471 consid. 3b, 107 Ia 135 consid. 2b; CDAP AC.2022.0231 28 février 2023 consid. 2). En l'espèce, on ne voit pas quelle norme d'une loi fédérale ou cantonale aurait pu prévoir que l'aménagement du territoire à Montreux soit confié, dans certaines situations, aux autorités d'une autre commune. Cela étant, les recourants dénoncent uniquement une violation de l'art. 9 Cst. qui reconnaît à toute personne a le droit d'être traitée par les organes de l'Etat sans arbitraire. Est arbitraire une décision qui se révèle insoutenable, en contradiction manifeste avec la situation effective, ou qui a été adoptée sans motifs objectifs et en violation d'un droit certain (ATF 148 II 465 consid. 8.1 et la jurisprudence citée). Or il est normal que les organes d'une commune prennent les décisions nécessaires à l'adoption et à la révision des plans d'affectation même si la commune est un propriétaire foncier sur son territoire. Cela n'est en rien arbitraire. Ce grief, manifestement mal fondé, doit être rejeté.</w:t>
      </w:r>
    </w:p>
    <w:p>
      <w:r>
        <w:rPr>
          <w:b/>
        </w:rPr>
        <w:t>E. 3</w:t>
      </w:r>
    </w:p>
    <w:p>
      <w:r>
        <w:t>Les recourants se plaignent d'une violation de l'art. 4 al. 2 LAT, parce que la municipalité n'aurait, selon eux, pas fait participer la population à l'élaboration du plan des zones réservées. Aux termes de l'art. 4 al. 2 LAT, les autorités chargées de l'aménagement du territoire veillent à ce que la population puisse participer de manière adéquate à l'établissement des plans. En l'occurrence, le préavis municipal explique (p. 13) qu'en raison de la nature de la mesure d'aménagement litigieuse – une " mesure d'urgence temporaire " – le projet de plan n'a " pas fait l'objet d'atelier participatif ou autre processus permettant à la population de prendre une part active dans le développement du territoire, cette étape étant alors dépourvue de sens ". Cette explication est cohérente, dès lors que la zone réservée n'est pas une mesure de planification ordinaire, comme le plan directeur cantonal (art. 6 ss LAT), un plan sectoriel de la Confédération (art. 13 LAT) ou un plan d'affectation communal ou cantonal (art. 14 ss LAT), mais une mesure conservatoire (cf. titre des art. 46 ss LATC) en vue de l'adoption d'une véritable mesure de planification. Cela étant, si l'on examine la situation des recourants (du point de vue de l'atteinte à leurs propres intérêts – cf. supra consid. 1b), il faut constater qu'ils ont pu participer au processus d'établissement du plan des zones réservées, grâce notamment à la mise à l'enquête publique du projet de plan, ce qui leur a permis de déposer une opposition écrite et d'obtenir une discussion avec l'administration communale (séance de conciliation selon l'art. 40 LATC, du 2 septembre 2021). Le droit fédéral ne leur permet pas d'exiger d'autres modalités de participation (cf. notamment Rudolf Muggli, Commentaire pratique LAT: Autorisation de construire, protection juridique et procédure, 2020, N. 26 ad art. 4; CDAP AC.2021.0351 du 11 juillet 2022 consid. 3). Ce grief est mal fondé.</w:t>
      </w:r>
    </w:p>
    <w:p>
      <w:r>
        <w:rPr>
          <w:b/>
        </w:rPr>
        <w:t>E. 4</w:t>
      </w:r>
    </w:p>
    <w:p>
      <w:r>
        <w:t>Les recourants se plaignent, en invoquant l'interdiction de l'arbitraire (art. 9 Cst.), du classement en zone réservée de leur propriété et de terrains voisins, tout en reprochant à la municipalité de ne pas avoir intégré, dans le plan litigieux, le secteur des "Grands Prés". a) Par ce grief, les recourants ne s'opposent pas, par principe, à l'adoption de zones réservées sur le territoire communal, en vue de l'établissement du nouveau plan général d'affectation (ou PACom) puisque, précisément, ils soutiennent qu'un terrain voisin au leur devrait être soumis au régime de la zone réservée. Ils critiquent bien plutôt le périmètre adopté par le conseil communal, en faisant implicitement valoir que leur propriété ne devrait pas en faire partie. b) L'art. 27 LAT prévoit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Une zone réservée, au sens de l'art. 27 LAT, est une mesure visant à assurer la liberté de décision des autorités de planification. Par l'adoption d'une zone réservée, de futures mesures d'aménagement du territoire se voient accorder un effet anticipé négatif: une autorisation de construire ne sera délivrée qu'à la condition qu'elle n'entrave pas l'établissement de la réglementation envisagée. La zone réservée a ainsi comme effet de surseoir à l'application du droit encore applicable en vue de l'entrée en vigueur du nouveau droit (cf. ATF 136 I 142 consid. 3.2). En droit cantonal, l'art. 46 LATC dispose que les communes ou le département peuvent établir des zones réservées selon l'art. 27 LAT. Ces zones interdisent ou limitent la constructibilité de terrains pendant une période maximale de cinq ans, pouvant être prolongée de trois ans au maximum (al. 1). La procédure d'approbation est celle des plans d'affectation (al. 2). L'établissement d'une zone réservée permet en particulier de garantir aux autorités chargées de l'aménagement du territoire la liberté de planifier et de décider, et d'éviter que des projets de construction viennent entraver cette liberté (TF 1C_230/2022 du 7 septembre 2023 consid. 4.1.2 et les références). La LATC prévoit encore d'autres mesures conservatoires aux art. 47 et 49 LATC, qui n'ont pas comme la zone réservée une portée générale, mais qui permettent de refuser ponctuellement une autorisation de construire quand le projet compromet une modification de plan d'affectation envisagée. Selon la jurisprudence, l'instauration d'une zone réservée suppose réunies trois conditions matérielles, à savoir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TF 1C_275/2021 du 19 mars 2022 consid. 2; CDAP AC.2022.0158 du 16 novembre 2022 consid. 2a, AC.2021.0077 du 31 mars 2022 consid. 3a). c) Les recourants ne mettent pas en cause la nécessité de prendre des mesures conservatoires, dans la situation créée à Montreux par les arrêts du Tribunal fédéral du 16 avril 2020. La complexité de cette situation permet aux autorités communales de justifier l'adoption d'une zone réservée pour les secteurs dont le régime juridique avait été défini en 1972, mais n'avait pas été revu ni adapté après l'entrée en vigueur de la LAT en 1980. Le Tribunal fédéral a eu l'occasion de préciser que l'annulation du nouveau PGA, selon ses arrêts du 16 avril 2020, n'entraînait pas nécessairement l'invalidation des plans d'affectation spéciaux adoptés postérieurement à l'entrée en vigueur de la LAT, et ne condamnait pas inconditionnellement toute construction nouvelle sur son territoire (cf. TF 1C_212/2022 du 30 mars 2023 consid. 4, 1C_645/2020 du 21 octobre 2021 consid. 3.4.2). En d'autres termes, il n'est pas nécessaire d'appliquer le régime de la zone réservée à l'ensemble du territoire constructible de la commune. On pourrait déduire de l'argumentation des recourants qu'ils estiment être victimes d'une inégalité de traitement, leur propriété étant incluse dans la zone réservée tandis que cette mesure conservatoire ne s'applique pas à des terrains voisins. Or l'égalité de traitement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TF 1C_129/2022 du 18 avril 2023 consid. 4.2 et les références). Cela vaut a fortiori pour une mesure d'aménagement conservatoire ou provisoire, telle la zone réservée. En l'occurrence, le grief d'arbitraire est précisément celui invoqué par les recourants. d) Le choix des autorités communales de ne pas inclure dans la zone réservée le périmètre du PPA "Les Grands Prés", entré en vigueur en 2018, n'est pas arbitraire (cf. aussi TF 1C_645/2020 du 21 octobre 2021 consid. 3.4.2). Celui d'y intégrer en revanche le périmètre du PEP "A Chailly-Baugy-Les Crêtes-Beau Regard", approuvé en 1981 (peu après l'entrée en vigueur de la LAT), n'est pas non plus arbitraire, car cette solution repose sur des motifs objectifs. A cause de la réglementation de ce PEP qui prévoit une utilisation très peu dense du sol, la municipalité retient qu'il y a " passablement de potentiel constructible à réaliser ", dans la partie centrale de l'agglomération (rapport 47 OAT, p. 14); il faut en déduire qu'elle entend étudier, dans le cadre du futur PACom, une adaptation de ce plan d'affectation spécial afin de mettre en œuvre le nouveau principe du droit fédéral énoncé à l'art. 3 al. 3 let. a bis LAT (" il convient notamment de prendre les mesures propres à assurer une meilleure utilisation dans les zones à bâtir des friches, des surfaces sous-utilisées ou des possibilités de densification des surfaces de l'habitat "). Aussi le périmètre de la zone réservée, dans le secteur litigieux, n'est-il pas critiquable car les autorités de planification ont bien appliqué l'art. 27 LAT; cette mesure conservatoire est en d'autres termes nécessaire. Le grief d'arbitraire, soulevé par les recourants, est donc mal fondé.</w:t>
      </w:r>
    </w:p>
    <w:p>
      <w:r>
        <w:rPr>
          <w:b/>
        </w:rPr>
        <w:t>E. 5</w:t>
      </w:r>
    </w:p>
    <w:p>
      <w:r>
        <w:t>Il s'ensuit que le recours, entièrement mal fondé, doit être rejeté, dans la mesure où il est recevable. Cela entraîne la confirmation des décisions rendues respectivement par le conseil communal et le département cantonal. Les recourants, qui succombent, doivent supporter les frais de justice (art. 49 LPA-VD). Il n'y a pas lieu d'allouer des dépens, les autorités intimées n'ayant pas consulté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