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AC.2022.0323 vom 23. Februar 2024</w:t>
      </w:r>
    </w:p>
    <w:p>
      <w:r>
        <w:t>VD Tribunal cantonal, 2024-02-23, FR</w:t>
      </w:r>
    </w:p>
    <w:p>
      <w:r>
        <w:rPr>
          <w:b/>
        </w:rPr>
        <w:t xml:space="preserve">Quelle: </w:t>
      </w:r>
      <w:r>
        <w:t>https://mcp.opencaselaw.ch/entscheid/vd_omni_AC.2022.0323</w:t>
      </w:r>
    </w:p>
    <w:p>
      <w:r>
        <w:t>FR: VD_OMNI AC.2022.0323 du 23 février 2024</w:t>
      </w:r>
    </w:p>
    <w:p>
      <w:r>
        <w:t>IT: VD_OMNI AC.2022.0323 del 23 febbraio 2024</w:t>
      </w:r>
    </w:p>
    <w:p>
      <w:pPr>
        <w:pStyle w:val="Heading2"/>
      </w:pPr>
      <w:r>
        <w:t>Regeste</w:t>
      </w:r>
    </w:p>
    <w:p>
      <w:r>
        <w:t>A.________/Municipalité de Montreux, B.________, C.________ | Rejet du recours, dans la mesure où il est recevable, contre le permis de construire 232 logements répartis dans 11 bâtiments, ainsi qu'un parking souterrain. Examen de la qualité pour recourir de la recourante en fonction de la distance entre sa propriété et chaque bâtiment projeté (consid.2). Le fait que le terrain appartienne à la commune ne constitue pas un motif de récusation de la municipalité (consid.3). Portée de l'acceptation d'une initiative populaire communale avant sa mise en oeuvre par le conseil communal (consid.4). Pas de motif d'appliquer l'art. 47 LATC ni de procéder à un contrôle préjudiciel du PPA (consid.5). Rejet des griefs relatifs aux nuisances sonores engendrées par le trafic routier (consid.6), au tracé d'un chemin compte tenu d'une servitude de passage (consid.7) et au nombre de places de parc (consid.8) Admission du recours en matière de droit public par le TF (1C_200/2024, 1C_208/2024 du 13 août 2025).</w:t>
      </w:r>
    </w:p>
    <w:p>
      <w:pPr>
        <w:pStyle w:val="Heading2"/>
      </w:pPr>
      <w:r>
        <w:t>Erwägungen</w:t>
      </w:r>
    </w:p>
    <w:p>
      <w:r>
        <w:rPr>
          <w:b/>
        </w:rPr>
        <w:t>E. 1</w:t>
      </w:r>
    </w:p>
    <w:p>
      <w:r>
        <w:t>Vu le sort du recours sur le fond, la question d'un éventuel conflit d'intérêts entre la recourante, à cause de la personne de son président, et son avocat (voir notamment la règle de l'art. 12 let. c de la loi fédérale du 23 juin 2000 sur la libre circulation des avocats [LLCA; RS 935.61]) n'a pas à être tranchée. Il est donc renoncé à statuer sur les conclusions prises à titre préalable dans le recours.</w:t>
      </w:r>
    </w:p>
    <w:p>
      <w:r>
        <w:rPr>
          <w:b/>
        </w:rPr>
        <w:t>E. 2</w:t>
      </w:r>
    </w:p>
    <w:p>
      <w:r>
        <w:t>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AC.2023.0040 du 29 mars 2023 consid. 1, AC.2021.0312 du 31 mars 2022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AC.2023.0040 du 29 mars 2023 consid. 1, AC.2020.0294 du 3 mai 2021 consid. 1b, AC.2019.0194 du 8 janvier 2020 consid. 1b). Par la décision attaquée, la municipalité a autorisé, à l'intérieur d'un vaste périmètre (2,5 ha), la construction de plusieurs bâtiments et de diverses installations, dont des aménagements extérieurs. Après que la création d'un quartier d'habitation avait été décidée par les autorités communales par l'adoption d'un plan d'affectation détaillé fixant des périmètres d'implantation et des gabarits pour les bâtiments et certaines infrastructures du quartier, il aurait été possible de délivrer plusieurs permis de construire distincts ou successifs, par exemple un par bâtiment (y compris les infrastructures et aménagements extérieurs directement liés à ce bâtiment – dans le dossier mis à l'enquête publique, des plans spécifiques ont du reste été établis pour chaque bâtiment ou lot). En pareil cas, la question de la qualité pour recourir aurait alors dû être résolue, dans chaque procédure, en fonction de l'intérêt digne de protection à l'annulation du permis visé. Il y a lieu, dans la présente affaire, de résoudre également cette question de recevabilité en fonction de l'atteinte concrète invoquée par la recourante, compte tenu des éléments du projet global qui sont effectivement critiqués. C'est en effet l'acte de recours qui délimite l'objet du litige, le juge administratif devant se prononcer sur les éléments de la décision attaquée qui sont réellement contestés (cf. notamment ATF 144 II 359 consid. 4.3, ATF 131 V 164 consid. 2.1; AC.2023.0060 du 4 septembre 2023 consid. 2a). La propriété de la recourante est à 100 m, ou moins, de l'emplacement des bâtiments litigieux n os 7, 8, 9, 10 et 11. Elle peut se prévaloir d'un intérêt digne de protection à contester le projet en tant qu'il prévoit la construction de ces cinq bâtiments avec les aménagements extérieurs attenants – mais pas en ce qui concerne les autres bâtiments, plus éloignés. La recourante remplit donc, pour cette partie du projet, les conditions de l'art. 75 let. a LPA-VD. Il y a lieu, dans cette mesure, d'entrer en matière.</w:t>
      </w:r>
    </w:p>
    <w:p>
      <w:r>
        <w:rPr>
          <w:b/>
        </w:rPr>
        <w:t>E. 3</w:t>
      </w:r>
    </w:p>
    <w:p>
      <w:r>
        <w:t>Dans un premier moyen (ou "requête de procédure"), en invoquant le fait que la parcelle n° 2052 est propriété de la commune, la recourante demande que le dossier du permis de construire soit "transmis au Conseil d'Etat du canton de Vaud pour désignation d'une commune appelée à le traiter en remplacement de la Municipalité". La recourante ne prétend pas qu'en octroyant le permis de construire, la municipalité ou un de ses membres auraient violé une prescription du droit cantonal relative à la récusation. Les dispositions sur la récusation sont, en principe, moins sévères pour les membres des autorités administratives et gouvernementales que pour les autorités judiciaires. L'art. 29 al. 1 de la Constitution fédérale (Cst.; RS 101) n'impose en effet pas l'indépendance et l'impartialité comme maxime d'organisation des autorités gouvernementales, administratives ou de gestion et n'offre pas, dans ce contexte, une garantie équivalente à celle applicable aux tribunaux. Dans une procédure d'aménagement du territoire, les représentants d'une commune n'ont pas l'obligation de principe de se récuser lorsqu'ils statuent sur des projets de construction dont leur commune est le maître d'œuvre; ce faisant, ils poursuivent en effet des intérêts publics et n'agissent pas en fonction de leurs intérêts personnels. Par ailleurs, une demande de récusation doit en principe être dirigée contre des personnes physiques déterminées – susceptibles de connaître une situation de conflit d'intérêts privés – et non contre une autorité dans son ensemble (ces principes résultent de la jurisprudence, voir notamment ATF 140 I 326 consid. 5.2, 125 I 209 consid. 8a, 122 II 471 consid. 3b, 107 Ia 135 consid. 2b; TF 1C_657/2018 du 18 mars 2021 consid. 4.1 non publié aux ATF 147 II 319 ; AC.2022.0330 du 10 novembre 2023 consid. 2, AC.2022.0231 du 28 février 2023 consid. 2). En l'espèce, on ne voit pas quelle norme d'une loi fédérale ou cantonale aurait pu prévoir que l'aménagement du territoire à Montreux soit confié, dans certaines situations, aux autorités d'une autre commune. Cela étant, il est clair, vu la jurisprudence précitée à propos des garanties minimales du droit constitutionnel, que la municipalité n'avait pas à se récuser. Cette requête de procédure doit être rejetée.</w:t>
      </w:r>
    </w:p>
    <w:p>
      <w:r>
        <w:rPr>
          <w:b/>
        </w:rPr>
        <w:t>E. 4</w:t>
      </w:r>
    </w:p>
    <w:p>
      <w:r>
        <w:t>Dans sa réplique, la recourante invoque un fait nouveau, postérieur à la décision attaquée. Elle se réfère à la votation populaire communale du 18 juin 2023 et à un communiqué de la municipalité qui a déclaré prendre acte du résultat, en s'engageant à mettre en œuvre le processus découlant de cette décision. La recourante en déduit que le permis de construire litigieux doit être annulé parce qu'il "est désormais contraire aux dispositions claires adoptées à une large majorité par la commune de Montreux". a) La portée juridique (et non pas politique) d'une acceptation, par le corps électoral, de l'initiative communale "Sauver les Grands-Prés" a été décrite dans l'arrêt de la Cour constitutionnelle du 2 décembre 2022 (CCST.2022.0006). Il convient de citer les considérants suivants de cet arrêt: "3d) L'élaboration d'un projet de plan d'affectation communal est normalement, dans une première phase (cf. art. 34 LATC), un processus administratif interne: soit au sein de l'administration communale elle-même, soit, sous sa direction, par mandat à un bureau d'urbanisme. Cependant, là où l'initiative populaire existe au niveau communal – ce qui n'est pas le cas dans tous les cantons –, les citoyens peuvent demander par ce moyen l'adoption ou la modification d'un plan […] . Le droit cantonal de l'aménagement du territoire confère parfois à des propriétaires concernés un droit d'initiative analogue, qui ne relève alors pas des droits politiques. Jusqu'au 1 er septembre 2018, la LATC reconnaissait ainsi un droit d'initiative, pour l'établissement d'un plan de quartier, à la moitié au moins des propriétaires du périmètre concerné, dont les immeubles représentent la moitié au moins de l'estimation fiscale totale (ancien art. 67 al. 2 LATC). Mais pour que la municipalité fût tenue d'établir un plan de quartier à l'initiative des propriétaires, il fallait encore la réalisation de conditions matérielles, en particulier une évolution sensible des circonstances depuis l'adoption du plan d'affectation en vigueur. Lorsque le droit cantonal prévoit un tel droit d'initiative, l'autorité est tenue d'entrer en matière sur la proposition des propriétaires, mais non de la suivre […] . Par ailleurs, la question de savoir si les propriétaires fonciers concernés disposent, en vertu du droit fédéral, d'un droit d'initiative en matière de révision du plan a été traitée par la jurisprudence. Lorsqu'une révision totale du plan d'affectation est entreprise, les propriétaires fonciers sont fondés à demander le réexamen du régime applicable à leur terrain, même lorsqu'il n'est a priori pas prévu de le modifier. Le droit d'initiative des propriétaires existe cependant même lorsqu'une procédure de révision totale n'est pas engagée d'office: à certaines conditions, un propriétaire foncier peut se prévaloir d'un droit de nature formelle à un réexamen du plan d'affectation, en ce qui concerne son immeuble ou des immeubles voisins, au motif qu'à la suite d'un changement sensible des circonstances, les mesures qu'il prévoit ne sont plus compatibles avec la garantie de la propriété […] . Cela étant, selon la jurisprudence, ce droit d'initiative du propriétaire découlant du droit fédéral, voire un droit d'initiative conféré par le droit cantonal à des tiers, ne saurait supprimer ou affaiblir la présomption de validité du plan d'affectation, car elle découle des principes matériels de la loi fédérale sur l'aménagement du territoire […] . Lorsque l'initiative d'établir un nouveau plan d'affectation, remplaçant un plan en vigueur, ne provient pas d'une autorité en charge de l'aménagement du territoire, mais de tiers – propriétaires concernés, citoyens utilisant l'instrument de l'initiative populaire –, les mêmes règles matérielles sont applicables. L'autorité est tenue, en premier lieu, de se prononcer sur la nécessité d'une révision, qui dépend de la modification sensible des circonstances selon l'art. 21 al. 2 LAT […] . 3e) […] Si le peuple se prononce en faveur de l'initiative (dans l'hypothèse de l'art. 149 al. 1, 4 e phrase, LEDP ou dans celle de l'art. 149 al. 2 LEDP), le conseil communal a l'obligation de "prendre dans les quinze mois qui suivent l'approbation les décisions utiles à sa mise en œuvre" (art. 149 al. 1, 2 e phrase LEDP). Si le processus s'arrête à cause d'un vote négatif du peuple, on pourra en déduire que, du point de vue de l'organe suprême de la commune, au terme de la première étape de l'examen prescrit par l'art. 21 al. 2 LAT, la garantie de la stabilité du plan d'affectation en vigueur doit l'emporter. Si en revanche la mise en œuvre de l'initiative est décidée par le conseil communal ou par le peuple, cela ne signifie pas que le plan d'affectation devra en définitive être modifié; il s'agit seulement d'une appréciation concernant la modification sensible des circonstances depuis la mise en vigueur du plan actuel. Cette mise en œuvre sera quoi qu'il en soit réalisée dans le respect des dispositions de procédure de la LATC, y compris celles concernant les phases préparatoires (examens préliminaire et préalable par le service cantonal, enquête publique [art. 36 à 38 LATC] […] ). L'acceptation de l'initiative populaire peut donc amener la municipalité à établir un projet de plan (cf. art. 34 LATC) mais les autorités de planification restent tenues d'appliquer l'art. 21 al. 2 LAT, à savoir de procéder à la pesée des intérêts au terme de laquelle on décide s'il faut effectivement réviser le plan d'affectation en vigueur. Le processus de la LEDP, dans le cas de l'acceptation d'une initiative communale, n'aboutit donc pas directement à une modification du plan d'affectation communal. L'autorité cantonale, qui est chargée par la LATC d'examiner les projets de plans communaux avant leur adoption (art. 36 et 37 LATC) et ensuite de les approuver (art. 43 LATC – l'approbation cantonale est exigée par le droit fédéral, selon l'art. 26 LAT), doit quoi qu'il en soit elle aussi se prononcer sur l'application des principes de l'aménagement du territoire, notamment sur les exigences de l'art. 21 al. 2 LAT. Elle a la possibilité de le faire dans la procédure d'établissement du plan (art. 34 ss LATC) qui suit l'acceptation de l'initiative populaire (ou la décision de la mettre en œuvre, au sens de l'art. 149 LEDP). En d'autres termes, la décision préalable des autorités communales dans la procédure de traitement de l'initiative populaire, qui intervient dans la première étape ou lors de la première pesée des intérêts prescrite par l'art. 21 al. 2 LAT – l'examen de la question de savoir si les circonstances se sont sensiblement modifiées –, ne lie pas les autorités chargées de l'aménagement du territoire pour la seconde étape, où une pesée plus complète des intérêts doit être effectuée pour déterminer si et dans quelle mesure, le cas échéant, une adaptation du plan d'affectation est nécessaire […] . Il faut relever que l'initiative populaire communale en matière de planification –  qui doit être conçue en termes généraux […] et qui a pour effet de mettre en œuvre la procédure des art. 34 ss LATC –, comme elle n'entraîne pas directement, en cas d'acceptation, une modification du plan d'affectation concerné, n'a pas les mêmes effets qu'une initiative législative cantonale visant la modification d'un plan d'affectation cantonal adopté sous la forme d'une loi. […] 3f) […] Cela étant, la décision de la municipalité fondée sur l'art. 140 al. 4 LEDP, qui concerne l'exercice des droit politiques et intervient à un stade très précoce, n'est pas une décision d'application de la LATC, prise dans le cadre de la procédure d'établissement des plans d'affectation (art. 34 ss LATC). […] 4) […] Tant que la mise en œuvre de l'initiative n'est pas décidée selon les règles de l'art. 149 LEDP, on ne saurait en principe considérer que le projet du comité d'initiative est un "plan en voie d'élaboration" au sens de l'art. 47 LATC. Cette disposition permet à la municipalité de "refuser un permis de construire lorsqu'un projet de construction, bien que conforme, compromet une modification de plan envisagée, non encore soumise à l'enquête publique" (art. 47 al. 1 LATC). Cet effet anticipé négatif d'un projet de plan est une "mesure conservatoire" (voir titre des art. 46 ss LATC) que la municipalité peut appliquer ou non, la jurisprudence lui reconnaissant à ce propos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 . Néanmoins, pour que l'on puisse objecter à un propriétaire foncier, requérant d'un permis de construire, l'effet anticipé d'un plan en voie d'élaboration, il faut que la première étape de la procédure des art. 34 ss LATC soit franchie; en d'autres termes. la municipalité doit estimer qu'il y a lieu d'engager la phase administrative interne qui permettra l'élaboration du projet de plan. Si la municipalité ne prend pas d'office cette décision, mais qu'elle doit le faire à l'initiative des propriétaires concernés ou de citoyens exerçant leurs droits politiques, ce n'est que lorsqu'elle est tenue de mettre en œuvre cette initiative que l'on pourra, en principe, admettre l'existence d'un plan en voie d'élaboration susceptible de déployer un effet anticipé négatif en vertu de l'art. 47 LATC. " b) Dans le cas particulier, l'acceptation de l'initiative (conçue en termes généraux) par le peuple le 18 juin 2023 impose en principe au conseil communal de prendre des décisions relatives à sa mise en œuvre (art. 149 al. 1 et 6 LEDP). D'après le dossier, ces décisions n'ont pas été prises en l'état mais le délai légal de quinze mois n'est pas échu. On ne peut pas déduire de ce vote populaire que l'application des règles du droit de l'aménagement du territoire (art. 15 ss, art. 21 al. 2 de la loi fédérale du 22 juin 1979 sur l'aménagement du territoire [LAT; RS 700]) imposera, à terme, l'abrogation du PPA, puisque la pesée des intérêts prescrite par le droit fédéral n'a pas encore été effectuée. En outre, comme cela ressort de l'arrêt précité, ce qui est survenu jusqu'ici dans le processus politique n'a pas l'effet de mesures conservatoires au sens des art. 46 ss LATC. Le contrôle judiciaire porte sur ce qui a été décidé par la municipalité en application de la LATC. L'aboutissement de l'initiative populaire communale et le résultat de la votation du 18 juin 2023 ne sont donc pas des éléments ou des faits nouveaux pertinents, dans la présente contestation.</w:t>
      </w:r>
    </w:p>
    <w:p>
      <w:r>
        <w:rPr>
          <w:b/>
        </w:rPr>
        <w:t>E. 5</w:t>
      </w:r>
    </w:p>
    <w:p>
      <w:r>
        <w:t>Il est par ailleurs évident qu'à la date de la décision attaquée, la municipalité n'avait aucun motif d'appliquer l'art. 47 LATC. Cet article confère à la municipalité une simple faculté. Elle peut faire obstacle à un projet conforme au droit si l'intention de réviser la réglementation en vigueur a fait l'objet d'un début de concrétisation, au moins sous la forme d'études préliminaires; la révision doit de surcroît répondre à un réel besoin de planification. La municipalité qui applique cette mesure conservatoire jouit d'une grande latitude de jugement et d’un pouvoir d’appréciation important. La jurisprudence retient néanmoins que l'autorité ne peut ni renoncer à exercer son pouvoir d'appréciation ni faire abstraction des principes constitutionnels régissant le droit administratif, notamment la légalité, la bonne foi, l'égalité de traitement et l'interdiction de l'arbitraire (cf. AC.2020.0075 du 30 septembre 2020 consid. 4b, AC.2017.0223 du 27 juin 2018 consid. 2b). Or on ne saurait reprocher à la municipalité d'avoir mal exercé son pouvoir d'appréciation en estimant, en septembre 2022, que le PPA "Les Grands Prés" était une réglementation valable que la commune n'avait pas l'intention de réviser. Le périmètre de ce PPA n'a du reste pas été inclus dans le plan des zones réservées, la mesure conservatoire générale de l'art. 46 LATC n'étant pas non plus considérée comme nécessaire.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1C_645/2020 du 21 octobre 2021 consid. 3.4.2). En d'autres termes, il n'est pas nécessaire d'appliquer le régime de la zone réservée à l'ensemble du territoire constructible de la commune. Dans le présent arrêt, vu l'objet du litige, il n'y a pour le reste pas lieu de se prononcer sur le plan des zones réservées (voir à ce sujet l'arrêt AC.2022.0322 du 15 novembre 2023). Il est tout aussi évident que le PPA "Les Grands Prés", qui est récent et qui règle l'urbanisation d'un secteur central (périmètre compact) de l'agglomération, n'a pas à faire l'objet d'un contrôle préjudiciel dans le cadre de la présente procédure de permis de construire. Selon un principe du droit fédéral, le contrôle incident ou préjudiciel des plans d'affectation dans le cadre d'une procédure relative à un acte d'application est exclu sauf circonstances particulières; en l'espèce, aucune exception à ce principe n'est réalisée (cf. ATF 144 II 41 consid. 5.1; TF 1C_208/2022 du 2 août 2023 consid. 5.1 et les références). L'argumentation de la recourante à ce propos, qu'il n'y a pas lieu de résumer plus précisément ici, n'est manifestement pas concluante.</w:t>
      </w:r>
    </w:p>
    <w:p>
      <w:r>
        <w:rPr>
          <w:b/>
        </w:rPr>
        <w:t>E. 6</w:t>
      </w:r>
    </w:p>
    <w:p>
      <w:r>
        <w:t>La recourante affirme que le bruit du trafic sur les routes desservant le quartier est un élément à prendre en considération dans l'application des dispositions du droit fédéral en matière de protection contre le bruit. Elle expose que les collectivités publiques concernées – l'Etat de Vaud et la Commune de Montreux – ne semblent pas avoir pris de mesures concrètes pour l'assainissement de la route de Chailly (route cantonale RC 734, longeant à l'est le périmètre du PPA). Or, selon elle, dans la mesure où l'on ne peut compter avec une certitude suffisante sur les mesures d'assainissement de la route de Chailly, le permis de construire devrait être refusé. La recourante n'a pas développé son argumentation en réplique. a) Ces griefs sont présentés de manière très sommaire, sans référence précise aux normes du droit fédéral ni aux données du dossier qui comportent des analyses effectuées par les experts des auteurs du projet, figurant en particulier dans le rapport "Etude mobilité" du bureau F._______ (octobre 2021) et dans le rapport "Notice d'impact sur l'environnement" du bureau E._______ (25 octobre 2021). Ces rapports concluent en substance que le quartier peut être réalisé en respectant les prescriptions  de l'ordonnance du 15 décembre 1986 sur la protection contre le bruit (OPB; RS 814.41). Le besoin d'assainissement de la route de Chailly n'est pas discuté par la municipalité (cf. art. 16 ss de la loi fédérale du 7 octobre 1983 sur la protection de l'environnement [LPE; RS 814.01]). Les données figurant dans la notice d'impact, en fonction des comptages de trafic disponibles, révèlent en effet un dépassement des valeurs limites d'immission (VLI) aux abords de cette route. Cet élément est décisif pour l'application de l'art. 9 OPB intitulé "Utilisation accrue des voies de communication", qui dispose ce qui suit, en retenant deux hypothèses: "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 Le parking souterrain du quartier, accessible à partir de deux giratoires sur la route de Chailly, est une installation fixe nouvelle. Le trafic supplémentaire sur la route de Chailly, engendré par les utilisateurs de ce parking, doit être pris en considération selon le droit fédéral mais le besoin d'assainissement de la route (deuxième hypothèse de l'art. 9 OPB) n'exclut pas la construction de l'installation: l'art. 9 let. b OPB se borne à exiger, dans la présente procédure de permis de construire – qui n'est pas une procédure d'assainissement de la route, et qui ne doit pas être formellement coordonnée avec les décisions en matière d'assainissement – que ce trafic supplémentaire n'entraîne pas, dans le voisinage, la perception d'immissions de bruit plus élevées. Les évaluations faites par l'expert des constructrices (p. 21 de la notice d'impact) démontrent que les variations ne seront pas perceptibles à proximité directe de la route (et a fortiori dans la propriété de la recourante). L'exigence de l'art. 9 let. b OPB est donc respectée, ce que la recourante ne conteste du reste pas sérieusement. Le dernier rapport qu'elle a produit – rapport du 14 octobre 2022 du bureau d'ingénieurs H._______, "PPA Les Grands Prés, Effets du projet sur le fonctionnement du réseau routier" – n'est pas déterminant pour l'application de l'art. 9 OPB: l'analyse effectuée pourrait être pertinente dans une procédure concernant le réaménagement (ou l'assainissement) de la route cantonale, mais non pas dans cette procédure de permis de construire, étant donné aussi que ce bureau spécialisé ne se prononce pas sur l'application des normes topiques de l'OPB (en particulier, il ne cherche pas à démontrer qu'avec le volume de trafic qu'il prend en considération, le trafic engendré par le nouveau quartier entraînerait dans le voisinage la perception d'immissions de bruit plus élevées). b) Cela étant, dans sa réponse, la municipalité indique ce qui a été ou sera mis en œuvre dans le but d'assainir le tronçon de la route de Chailly proche du périmètre litigieux (vitesse maximale abaissée à 50 km/h, pose d'un revêtement phonoabsorbant, réaménagement routier avec un nouveau giratoire). En évaluant les nuisances de bruit du trafic routier, avec ces mesures, l'expert des constructrices a retenu des dépassements des valeurs limites déterminantes en façade des nouveaux bâtiments projetés le long de la route de Chailly mais que certaines mesures en matière de construction ou de conception de ces façades permettraient de réduire les niveaux de bruit à des valeurs inférieures aux limites fixées par le droit fédéral. En l'espèce, vu l'objet du litige (cf. supra, consid. 2), il y a lieu uniquement d'examiner si les exigences du droit fédéral sont respectées pour les bâtiments n os</w:t>
      </w:r>
    </w:p>
    <w:p>
      <w:r>
        <w:rPr>
          <w:b/>
        </w:rPr>
        <w:t>E. 9</w:t>
      </w:r>
    </w:p>
    <w:p>
      <w:r>
        <w:t>Il s'ensuit que le recours, entièrement mal fondé, doit être rejeté dans la mesure où il est recevable , ce qui entraîne la confirmation de la décision attaquée. La recourante, qui succombe, doit supporter les frais de justice (art. 49 LPA-VD). Etant donné que la municipalité est représentée par un avocat pour cette procédure, la Commune de Montreux a droit à des dépens, à la charge de la recourante (art. 55 LPA-VD). Les sociétés constructrices, qui n'ont pas déposé de réponse ou pas mandaté d'avocat,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