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AC.2022.0315 vom 8. März 2023</w:t>
      </w:r>
    </w:p>
    <w:p>
      <w:r>
        <w:t>VD Tribunal cantonal, 2023-03-08, FR</w:t>
      </w:r>
    </w:p>
    <w:p>
      <w:r>
        <w:rPr>
          <w:b/>
        </w:rPr>
        <w:t xml:space="preserve">Quelle: </w:t>
      </w:r>
      <w:r>
        <w:t>https://mcp.opencaselaw.ch/entscheid/vd_omni_AC.2022.0315</w:t>
      </w:r>
    </w:p>
    <w:p>
      <w:r>
        <w:t>FR: VD_OMNI AC.2022.0315 du 8 mars 2023</w:t>
      </w:r>
    </w:p>
    <w:p>
      <w:r>
        <w:t>IT: VD_OMNI AC.2022.0315 del 8 marzo 2023</w:t>
      </w:r>
    </w:p>
    <w:p>
      <w:pPr>
        <w:pStyle w:val="Heading2"/>
      </w:pPr>
      <w:r>
        <w:t>Regeste</w:t>
      </w:r>
    </w:p>
    <w:p>
      <w:r>
        <w:t>A.________/Municipalité de Nyon, Direction générale du territoire et du logement | Recours contre les conditions d'un permis de construire. L'autorité ne peut pas se fonder sur ses intentions futures pour refuser d'approuver un accès autorisé par le droit en vigueur et obliger la contructrice à réaliser un autre accès (consid. 2b). L'autorité ne peut pas imposer à la constructrice de déposer, avant la délivrance du permis d'utiliser, une demande de permis de construire portant sur les aménagements extérieurs. Si l'autorité estimait qu'un tel plan manquait dans le dossier d'enquête, elle aurait dû demander que le dossier soit complété avant la mise à l'enquête. De plus, l'autorisation (dérogatoire) d'aménager des places de stationnement ne nécessite pas la réalisation d'un plan d'aménagement particulièrement précis. Enfin, un permis d'utiliser ne peut pas être refusé en lien avec les aménagements extérieurs, en l'absence d'un risque pour la santé ou la sécurité des utilisateurs (consid. 3b) Admission du recours et annulation des conditinos grevant le permis de construire.</w:t>
      </w:r>
    </w:p>
    <w:p>
      <w:pPr>
        <w:pStyle w:val="Heading2"/>
      </w:pPr>
      <w:r>
        <w:t>Erwägungen</w:t>
      </w:r>
    </w:p>
    <w:p>
      <w:r>
        <w:rPr>
          <w:b/>
        </w:rPr>
        <w:t>E. 1</w:t>
      </w:r>
    </w:p>
    <w:p>
      <w:r>
        <w:t>Déposé dans le délai de trente jours fixé par l'art. 95 LPA-VD, le recours est intervenu en temps utile et respecte les conditions formelles énoncées à l'art. 79 LPA-VD. La recourante disposant en outre de la qualité pour recourir, en tant que destinataire du permis de construire litigieux dont elle conteste les conditions, il convient d'entrer en matière.</w:t>
      </w:r>
    </w:p>
    <w:p>
      <w:r>
        <w:rPr>
          <w:b/>
        </w:rPr>
        <w:t>E. 2</w:t>
      </w:r>
    </w:p>
    <w:p>
      <w:r>
        <w:t>Le projet mis à l'enquête comporte deux accès, l'un par la route de Champ-Colin et l'autre par le chemin de Terre-Bonne. L'autorité intimée conditionne le permis de construire délivré à l'obligation pour la recourante de réaliser l'accès à sa parcelle n° 1090 par la route de Champ-Colin, et non par le chemin de Terre-Bonne. a) La garantie de la propriété est ancrée à l'art. 26 al. 1 de la Constitution fédérale de la Confédération suisse du 18 avril 1999 ( Cst.; RS 101). Elle permet au propriétaire d'un terrain d'en disposer librement , par exemple de construire sur celui-ci selon ses préférences, dans les limites fixées par la loi. Selon l'art. 36 Cst. , une restriction aux droits fondamentaux doit reposer sur une base légale (al. 1), être justifiée par un intérêt public (al. 2) et respecter le principe de la proportionnalité (al. 3). aa) Conformément aux art. 22 al. 2 let. b d e la loi fédérale du 22 juin 1979 sur l'aménagement du territoire (LAT; RS 700) et 104 al. 3 LATC , la municipalité ne peut accorder le permis de construire que lorsque le bien-fonds est équipé pour la construction ou qu'il le sera à l'achèvement de cette dernière. Selon l'art. 19 al. 1 LAT, un terrain est  notamment réputé équipé lorsqu'il est desservi d'une manière adaptée à l'utilisation prévue par des voies d'accès. Selon la jurisprudence, tel est le cas lorsque la voie d'accès est suffisante d’un point de vue technique et juridique pour accueillir tout le trafic de la zone qu'elle dessert (ATF 121 I 65 consid. 3a p. 68; TF 1C_664/2021 du 28 juillet 2022 consid. 3.1.1).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1C_585/2021 du 27 octobre 2022 consid. 3.1.1; CDAP AC.2020.0282 du 9 novembre 2021 consid. 6a). bb) Pour ce qui est des accès privés aux routes cantonales et communales, l'art. 32 de la loi sur les routes du 10 décembre 1991 (LRou; BLV 725.01) précise que l'aménagement d'un accès privé aux routes communales est soumis à autorisation de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Il convient de prendre en considération, dans l'interprétation des exigences de l'art. 32 al. 2 LRou, la garantie constitutionnelle de la propriété. Le refus d'aménager un accès constitue en effet une restriction à l'usage du droit de propriété garanti par la Constitution fédérale. Selon la jurisprudence, l'art. 32 al. 2 LRou ne donne toutefois aucun droit à obtenir les accès les plus commodes de son fonds sur la voie publique (CDAP AC.2020.0115 du 27 janvier 2021 consid. 2a et les réf. citées). Cette disposition pose encore une condition de sécurité, en ce sens qu'il ne doit pas en résulter d'inconvénient pour la fluidité ou la sécurité du trafic (CDAP AC.2022.0058 du 12 décembre 2022 consid. 6a; AC.2017.0091 du 6 septembre 2018 consid. 7c; AC.2016.0289 du 25 septembre 2017 consid. 6a/aa). b) En l'espèce, l'autorité intimée n'invoque pas de problème de sécurité que poserait l'accès par le chemin de Terre-Bonne, ni même d'élément de non-conformité au droit en vigueur que contiendrait cet accès. Elle se fonde uniquement sur le fait que, le 5 octobre 2020, le Conseil communal a adopté l'art. 15 RPPA Champ-Colin, lequel détermine a contrario qu'aucun accès aux parcelles ne sera plus autorisé aux véhicules motorisés depuis les parcelles du domaine public DP n° 1, 3 et 15, soit depuis le chemin de Terre-Bonne. Toutefois, comme le Tribunal de céans l'a exposé sans ambiguïté dans son arrêt du 10 août 2022 (AC.2021.0189), l'autorité ne peut pas se fonder sur ses intentions futures pour refuser un permis de construire, alors que le projet est conforme au droit en vigueur, et imposer des conditions qui ne ressortent pas de la loi. En refusant à la recourante d'approuver un accès pourtant autorisé par le droit en vigueur et en agissant ainsi en contradiction avec les principes pourtant expressément posés par l'arrêt de la CDAP du 10 août 2022, l'autorité a porté gravement atteinte à la garantie constitutionnelle de la propriété de la recourante. Il convient d'admettre le recours en annulant la condition 1.1.3 grevant le permis de construire. L'autorité intimée se prévaut du Schéma directeur de l'agglomération nyonnaise, qui retient que " Les couloirs de verdure sont à valoriser, notamment celui de Terre Bonne qui permet de conforter l’image du village d’Eysins pris dans un écrin de verdure ". Elle indique également qu'elle se fonde sur le Concept de mobilité urbaine, qu'elle a adopté en 2010 en vue de fixer une vision politique stratégique dans la planification et la gestion des différents modes de déplacement sur le territoire nyonnais. Selon ses explications, le concept constitue l'instrument de planification de la mobilité de référence pour les autorités et a notamment pour objectif de favoriser le rapport modal vers la mobilité douce et les transports publics. Dans cette optique, le concept considère le chemin de Terre-Bonne comme un élément du réseau de desserte de niveau 2, lequel sert à " alimenter les quartiers et secteurs du centre-ville. Il est aménagé de manière à être sûr et agréable pour les déplacements à pied ou à vélo ". Il convient de souligner au sujet des documents précités qu'il ne s'agit pas de textes qui auraient un effet contraignant direct pour les particuliers et qui permettraient – en tant que tels – de faire abstraction du droit en vigueur. La portée de ces textes est essentiellement programmatique et notamment limitée par la nécessaire pesée des intérêts qui doit être effectuée dans le cadre des actes de planification subséquents (cf. de manière semblable concernant le plan directeur cantonal TF 1C_550/2016 du 15 janvier 2018 consid. 5.1). Au surplus, il n'apparaît pas que ces textes interdiraient nécessairement un accès pour les véhicules par le sentier de Terre-Bonne. Enfin, peu importe que l'autorité intimée ait répété régulièrement depuis le début de la procédure à la recourante que l'accès devait se faire par la route de Champ-Colin. La répétition d'une exigence sans fondement légal ne permet pas de suppléer à l'absence de base légale.</w:t>
      </w:r>
    </w:p>
    <w:p>
      <w:r>
        <w:rPr>
          <w:b/>
        </w:rPr>
        <w:t>E. 3</w:t>
      </w:r>
    </w:p>
    <w:p>
      <w:r>
        <w:t>Dans la décision attaquée, l'autorité intimée a exigé que la recourante dépose, avant délivrance de tout permis d'utiliser, une demande de permis de construire portant sur les aménagements extérieurs, laquelle serait soumise à l'enquête publique complémentaire (condition 1.1.5). Elle a précisé que ce projet d'aménagement extérieurs devrait être conforme au PPA Champ-Colin, adopté le 5 octobre 2020 par le Conseil communal et tenant compte de l'amendement suivant: "Les aménagements extérieurs feront l'objet d'un plan d'ensemble qui fixe les principes d'arborisation et de végétalisation de l'ensemble du secteur et en particulier des dessertes internes et périphériques. Ils feront également l'objet d'un plan spécifique complémentaire à la demande de permis de construire. Ce plan devra se conformer au plan d'ensemble." a) aa) En vertu de l'art. 108 al. 2 LATC, des plans doivent être joints à la demande de permis de construire. Les exigences relatives aux plans et pièces à produire sont fixées au niveau réglementaire, soit à l'art. 69 al. 1 RLATC. La demande doit être accompagnée notamment d'un plan de situation extrait du plan cadastral (ch. 1) et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L'art. 49 RPE prévoit ce qui suit au sujet des a ménagements extérieurs: "Le dossier d’enquête comprend un plan d’aménagement complet de la propriété (accès, parking, circulations, plantations, etc.). La Municipalité peut imposer, le long des voies publiques et des limites de propriété, la plantation de rideaux d’arbres, de haies ou tout autre aménagement jugé équivalent. Ces aménagements doivent être achevés dans l’année qui suit la délivrance du permis d’habiter ou d’utiliser." Le but de l'art. 69 RLATC est de permettre à tout un chacun de se faire une idée précise et concrète d'un projet. Cela étant, il convient de ne pas appliquer de manière excessivement formaliste les dispositions gouvernant la procédure de mise à l'enquête. Une éventuelle lacune du dossier n’est pas déterminante lorsque la consultation des autres pièces a permis de la combler ou que le vice a été réparé en cours de procédure (CDAP AC.2021.0202 du 4 mars 2022 consid. 2a et les références citées; AC.2007.0232 du 7 juillet 2008). 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tel est le cas lorsqu'elles portent sur des questions de détails ou secondaires. Les modifications plus importantes, mais qui ne changent pas sensiblement le projet, peuvent être soumises à une enquête complémentaire au sens de l'art. 72b RLATC. Les modifications qui dépassent le cadre de l'art. 72b RLATC doivent faire l’objet d’une nouvelle enquête publique principale selon l'art. 109 LATC (CDAP AC.2021.0041 du 14 avril 2022 consid. 3a/bb et les références citées). cc) Aux termes de l'art. 128 LATC, portant comme titre marginal " Permis d'habiter ou d'utiliser ",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D'après l'art. 79 al. 1 RLATC,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(cf. CDAP AC.2019.0389 du 31 mars 2021 consid. 2d; AC.2019.0100 du 19 novembre 2020 consid. 3c; AC.2019.0296 du 19 juin 2020 consid. 4a). La CDAP a précisé que la municipalité ne pouvait pas refuser un permis d'habiter ou imposer une modification des aménagements réalisés au seul motif que des aménagements extérieurs ne correspondaient pas aux plans remis à l'autorité communale dans le cadre de la procédure de permis de construire (des pavés avaient été posés en lieu et place d'un revêtement en grilles-gazon). Dès lors que les aménagements réalisés étaient réglementaires et pouvaient être régularisés, le permis d'habiter devait être délivré (cf. arrêt AC.2014.0337 du 3 mars 2015 consid. 5b). Dans une autre affaire (cf. AC.2008.0221 du 17 juillet 2009), le Tribunal de céans a également eu l’occasion de constater qu’il paraissait disproportionné de refuser le permis d'habiter au motif que le propriétaire avait procédé à des travaux non couverts par le permis de construire octroyé et non conformes à la loi, consistant uniquement en des aménagements extérieurs. b) En l'espèce, le plan de situation faisant partie du dossier de mise à l'enquête comporte le dessin de l'accès véhicule, de l'accès piéton, de l'accès vélos, des places de stationnement, des bandes de biodiversité, des arbres à planter ainsi que des canalisations d'eaux claires et d'eaux usées. Le dossier d'enquête comprend également un plan intitulé " Aménagements " qui ne contient pas d'informations supplémentaires pour ce qui concerne le projet de construction (tout en donnant quelques indications au sujet du reste de la parcelle, ce qui ne semble toutefois pas déterminant pour la présente affaire). L'autorité intimée n'a pas précisé en quoi les documents au dossier ne permettaient pas de se faire une idée précise et concrète du projet et de ses aménagements extérieurs. Elle affirme que le dossier d'enquête ne serait pas conforme aux exigences de l'art. 69 RLATC et 4 RPE mais sans aucune motivation. Au demeurant, dans un tel cas, l'autorité intimée aurait dû demander que le dossier soit complété avant la mise à l'enquête et ne procéder à celle-ci qu'en présence d'un dossier régulièrement constitué. Il apparaît peu conforme au principe de la bonne foi d'affirmer qu'un dossier est incomplet uniquement après la mise à l'enquête. Au vu de ce qui précède, le Tribunal de céans ne voit pas de motif de considérer que le dossier ne serait pas conforme aux art. 69 RLATC et 49 RPE. Dans sa réponse, l'autorité intimée a lié son exigence de plan des aménagements extérieurs au fait que l'aménagement, en zone de verdure, d'un parking de 38 places et de ses cheminements pour véhicules était, dans son principe, contraire à la destination de la zone de verdure au sens de l'art. 62 RPE. Si une dérogation avait été accordée, c'était parce que la parcelle n° 1090 de Nyon serait intégralement affectée à la zone industrielle et artisanale selon l'art. 4 RPPA Champ-Colin et que la zone de verdure était vouée à disparaître. La suppression de l'actuelle zone de verdure avait néanmoins pour corollaire l'adoption de l'art. 17 RPPA qui prévoyait en particulier que les aménagements extérieurs feraient l'objet d'un plan spécifique complémentaire à la demande de permis de construire. Il est vrai que, selon l'art. 62 RPE, la zone de verdure est " destinée à sauvegarder les sites, créer des îlots de verdure et aménager des places de jeux " et est " caractérisée par l’interdiction de bâtir ". Cela étant, d ans son courrier du 12 septembre 2022, adressé à la Municipalité d'Eysins et levant son opposition, l'autorité intimée a relevé ce qui suit: "La zone de verdure située sous la ligne à haute tension n'a, à l'évidence, pour but que d'empêcher la réalisation d'immeubles qui seraient soumis à son rayonnement. En effet, l'ensemble des surfaces longeant le chemin de Terre-Bonne, affectées en zone de verdure, sont actuellement bitumées et à usage de stationnement. Seule la parcelle accueillant le projet est encore en partie recouverte de verdure." Il apparaît ainsi que l'autorisation (dérogatoire) d'aménager des places de stationnement en zone de verdure relève de la pratique communale relative au droit en vigueur et ne nécessite pas la réalisation d'un plan d'aménagement particulièrement précis. En réalité, en ajoutant la condition 1.1.5 au permis de construite, l'autorité intimée cherche à imposer à la recourante le respect d'une planification non encore entrée en vigueur, en contradiction avec ce que le Tribunal de céans a jugé dans son arrêt du 10 août 2022. Enfin, il ressort de la jurisprudence constante exposée ci-avant qu'un permis d'habiter ou d'utiliser ne peut pas être refusé en lien avec les aménagements extérieurs, si ce n'est en présence d'un risque pour la santé ou la sécurité des utilisateurs. La condition 1.1.5 ne respecte dès lors pas non plus l'art. 128 LATC. Il convient d'admettre le recours en annulant la condition 1.1.5 grevant le permis de construire.</w:t>
      </w:r>
    </w:p>
    <w:p>
      <w:r>
        <w:rPr>
          <w:b/>
        </w:rPr>
        <w:t>E. 4</w:t>
      </w:r>
    </w:p>
    <w:p>
      <w:r>
        <w:t>Vu ce qui précède, le recours doit être admis et la décision de la Municipalité de Nyon du 12 septembre 2022 délivrant le permis de construire un hôtel industriel sur la parcelle n° 1090 (CAMAC n° 178277) doit être réformée en ce sens que les conditions particulières communales ch. 1.1.3 et 1.1.5 sont supprimées. La décision est confirmée pour le surplus. Succombant, la Municipalité de Nyon supportera les frais de justice, ainsi que les dépens en faveur de la recourante,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