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AC.2022.0257 vom 26. Juni 2023</w:t>
      </w:r>
    </w:p>
    <w:p>
      <w:r>
        <w:t>VD Tribunal cantonal, 2023-06-26, FR</w:t>
      </w:r>
    </w:p>
    <w:p>
      <w:r>
        <w:rPr>
          <w:b/>
        </w:rPr>
        <w:t xml:space="preserve">Quelle: </w:t>
      </w:r>
      <w:r>
        <w:t>https://mcp.opencaselaw.ch/entscheid/vd_omni_AC.2022.0257</w:t>
      </w:r>
    </w:p>
    <w:p>
      <w:r>
        <w:t>FR: VD_OMNI AC.2022.0257 du 26 juin 2023</w:t>
      </w:r>
    </w:p>
    <w:p>
      <w:r>
        <w:t>IT: VD_OMNI AC.2022.0257 del 26 giugno 2023</w:t>
      </w:r>
    </w:p>
    <w:p>
      <w:pPr>
        <w:pStyle w:val="Heading2"/>
      </w:pPr>
      <w:r>
        <w:t>Regeste</w:t>
      </w:r>
    </w:p>
    <w:p>
      <w:r>
        <w:t>A.________/Municipalité d'Aclens | Recours d'une propriétaire contre la décision municipale refusant de régulariser un studio aménagé en 2020 sans autorisation au sous-sol de sa villa, depuis loué à un tiers, et ordonnant la résiliation du bail. Confirmation que la création de ce logement dans des locaux autorisés en 1996 comme non habitables (caves) était soumis à autorisation (c. 4). Pas de violation du principe de la bonne foi: si la municipalité a toléré dès 1996 l'usage du sous-sol comme bureau, elle n'a en revanche jamais autorisé l'affectation de ce niveau à l'habitation (c. 5). Le changement d'affectation du sous-sol doit être refusé au motif qu'il en résulterait un important dépassement de l'IUS (c. 6). L'ordre de remise en état est conforme au principe de proportionnalité (c. 7). Pas de violation du principe de l'égalité de traitement (c. 8). Recours rejeté.</w:t>
      </w:r>
    </w:p>
    <w:p>
      <w:pPr>
        <w:pStyle w:val="Heading2"/>
      </w:pPr>
      <w:r>
        <w:t>Erwägungen</w:t>
      </w:r>
    </w:p>
    <w:p>
      <w:r>
        <w:rPr>
          <w:b/>
        </w:rPr>
        <w:t>E. 1</w:t>
      </w:r>
    </w:p>
    <w:p>
      <w:r>
        <w:t>La décision attaquée n'a erronément pas été notifiée à la recourante – en tant que propriétaire du lot n° 1 de PPE sur lequel se situe la villa comprenant le logement litigieux – mais à son époux. L'intéressée ayant toutefois pu prendre connaissance de cette décision et la contester en temps utile devant la présente instance de recours, elle n'a pas subi de préjudice résultant de cette notification irrégulière (cf. en ce sens CDAP AC.2019.0404 du 9 novembre 2020 consid. 1a), ce qu'elle ne prétend d'ailleurs pas.</w:t>
      </w:r>
    </w:p>
    <w:p>
      <w:r>
        <w:rPr>
          <w:b/>
        </w:rPr>
        <w:t>E. 2</w:t>
      </w:r>
    </w:p>
    <w:p>
      <w:r>
        <w:t>La recourante sollicite la suspension de la procédure jusqu'à droit connu sur les suites réservées aux dénonciations dont elle a saisi l'autorité intimée et qui concernent d'autres habitations du quartier visualisées lors de l'audience du 28 mars 2023, afin de vérifier si la municipalité "fait respecter la loi de la même manière pour tous". L'autorité intimée s'oppose à cette requête. a) L'autorité peut, d'office ou sur requête, suspendre la procédure pour de justes motifs, notamment lorsque la décision à prendre dépend de l'issue d'une autre procédure ou pourrait s'en trouver influencée d'une manière déterminante (art. 25 LPA-VD).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(CDAP AC.2020.0316 du 30 juin 2021 consid. 3c/aa; AC.2019.0017 du 26 juillet 2019 consid. 1a). b) En l'occurrence, le litige porte exclusivement sur la villa de la recourante et sur le point de savoir si, et cas échéant dans quelle mesure, l'ordre de remise en état contesté concernant cette habitation peut être confirmé. Les dénonciations dont la recourante a saisi l'autorité intimée en cours de procédure portent sur la situation d'autres bâtiments sis sur le territoire communal et concernent ainsi des procédures distinctes, dont le sort peut être réglé de manière indépendante. Dans ces circonstances, il ne se justifie pas de donner suite à la requête formulée par la recourante tendant à suspendre la présente cause jusqu'à droit connu sur le sort réservé à celles-ci. Le refus signifié sur ce point par avis du 3 mai 2023 doit partant être confirmé.</w:t>
      </w:r>
    </w:p>
    <w:p>
      <w:r>
        <w:rPr>
          <w:b/>
        </w:rPr>
        <w:t>E. 3</w:t>
      </w:r>
    </w:p>
    <w:p>
      <w:r>
        <w:t>Est contestée la décision par laquelle l'autorité intimée a d'une part – implicitement – refusé de régulariser le logement aménagé sans autorisation au sous-sol de la villa de la recourante, d'autre part ordonné la remise en état par une "fermeture définitive" de ce logement. La recourante soutient que le sous-sol de sa villa a dès le début été isolé et chauffé, équipé d'une kitchenette, d'un robinet ainsi que d'un WC (en réalité posé quelques années plus tard, cf. p.-v. d'audience) et qu'il a d'emblée été utilisé comme bureau par son mari pour son activité d'architecte. Elle souligne que cette utilisation était connue des représentants de l'autorité intimée, qui ont pu s'en rendre compte lors de la visite en vue de la délivrance du permis d'habiter. Elle soutient que ce permis d'habiter a donc été octroyé en 1999 en toute connaissance de cause et que l'autorité intimée a par-là reconnu que les travaux réalisés étaient conformes aux plans approuvés. Expliquant s'être ainsi crue de bonne foi autorisée à utiliser le sous-sol comme bureau, elle fait valoir que cette affectation du sous-sol à l'habitation – le travail nécessitant des locaux habitables – a été acceptée et tolérée pendant plus de 20 ans, de sorte qu'elle devrait être mise au bénéfice d'un droit acquis. Elle relève que les seuls menus travaux ayant été effectués au sous-sol en 2020, soit le changement de la kitchenette et la pose d'une douche, ne peuvent pas être considérés comme un changement de destination soumis à autorisation. Elle insiste également sur le fait que l'affectation du sous-sol en un second logement est conforme la destination de la zone de villas et que le RPGA permet jusqu'à trois appartements par unité.</w:t>
      </w:r>
    </w:p>
    <w:p>
      <w:r>
        <w:rPr>
          <w:b/>
        </w:rPr>
        <w:t>E. 4</w:t>
      </w:r>
    </w:p>
    <w:p>
      <w:r>
        <w:t>Il convient d'examiner en premier lieu si la création d'un logement au sous-sol de la villa de la recourante est soumise à autorisation. a) A teneur de l'art. 22 al. 1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1C_50/2020 du 8 octobre 2020 consid. 6.1; CDAP AC.2021.0212 du 12 décembre 2022 consid. 4b). En droit vaudois, la question de l'assujettissement des constructions à autorisation est régie par l'art. 103 de la loi sur l'aménagement du territoire et les constructions du 4 décembre 1985 ( LATC ; BLV 700.11), prévoyant qu'aucun travail de construction ou de démolition, en surface ou en sous-sol, modifiant de façon sensible la configuration, l'apparence ou l'affectation d'un terrain ou d'un bâtiment, ne peut être exécuté avant d'avoir été autorisé (al. 1). Ne sont notamment pas soumis à autorisation les constructions, les démolitions et les installations de minime importance ne servant pas à l'habitation ou à l'activité professionnelle et dont l'utilisation est liée à l'occupation du bâtiment principal (al. 2 let. a). L'art. 68 al. 1 du règlement d'application de la LATC du 19 septembre 1986 (RLATC; BLV 700.11.1) prévoit qu'est en particulier subordonné à l'autorisation de la municipalité, sous réserve de l'art. 68a RLATC, le changement de destination de constructions existantes (let. b). Au plan communal, l'art. 61 RPGA (disposition applicable à toutes les zones) prévoit que " Pour toute construction nouvelle, modification même mineure d’un bâtiment existant, la procédure de mise à l’enquête publique est obligatoire (art. 103 LATC) ". b) Lorsqu'un logement est créé dans des locaux qui, comme en l'espèce, ont initialement été autorisés comme non-habitables, il convient notamment de vérifier si les dispositions du règlement communal relatives au nombre de niveaux habitables et à l'indice d'utilisation du sol sont respectées. Cette vérification doit s'effectuer dans le cadre d'une procédure d'autorisation de construire dès lors que, on l'a vu, cette procédure a notamment pour but de vérifier la conformité de la construction aux réglementations applicables. Dans un arrêt AC.2019.0042 du 4 mai 2020, le Tribunal cantonal a ainsi considéré que l'installation d'une cuisine entièrement équipée dans un local dont l'utilisation en tant qu'habitation était exclue par le permis de construire constituait un changement d'affectation pour lequel une autorisation de construire au sens des art. 22 LAT et 103 LATC était nécessaire (consid. 7a/bb et cc). Dans l'affaire AC.2020.0189 du 17 février 2021, il a également confirmé l'appréciation de la municipalité selon laquelle la création dans une maison individuelle d'un second logement dans un local affecté initialement à un usage de fitness, au sein d'une zone où les maisons (isolées) de deux appartements n'étaient pas admises, ne pouvait pas être tolérée sans autorisation de construire (consid. 2c). c) Vu ce qui précède, c'est à juste titre que l'autorité intimée a considéré que la création d'un logement au sous-sol de la villa de la recourante était soumise à autorisation.</w:t>
      </w:r>
    </w:p>
    <w:p>
      <w:r>
        <w:rPr>
          <w:b/>
        </w:rPr>
        <w:t>E. 5</w:t>
      </w:r>
    </w:p>
    <w:p>
      <w:r>
        <w:t>La recourante soutient que la décision attaquée viole le principe de la bonne foi. Elle fait valoir à cet égard que le sous-sol de la villa a d'emblée été utilisé comme bureau par son mari pour son activité d'architecte, que cet élément était connu de la municipalité lorsque celle-ci a délivré le permis d'habiter et que cette situation a été tolérée durant de nombreuses années. Elle soutient que, pour ce motif, elle doit être mise au bénéfice d'un droit acquis méritant protection.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Le droit à la protection de la bonne foi peut aussi être invoqué en présence simplement d'un comportement de l'administration, notamment en cas de silence de l'autorité dans une situation de fait contraire au droit, pour autant que celui-ci soit susceptible d'éveiller chez l'administré une attente ou une espérance légitime (ATF 129 II 361 consid. 7.1; TF 1C_307/2019 du 3 avril 2020 consid. 5.1). La précision que l'attente ou l'espérance doit être "légitime" est une autre façon de dire que l'administré doit avoir eu des raisons sérieuses d'interpréter comme il l'a fait le comportement de l'administration et d'en déduire les conséquences qu'il en a tirées (TF 1C_251/2015 du 1 er février 2016 consid. 3.1.1). Tel n'est notamment pas le cas s'il apparaît, au vu des circonstances, qu'il devait raisonnablement avoir des doutes sur la signification du comportement en cause et se renseigner à ce sujet auprès de l'autorité (TF 2C_138/2015 du 6 août 2015 consid. 5.1). Il ne suffit pas que, pendant un certain temps, l'autorité tolère, c'est-à-dire n'intervienne pas à l'encontre d'un état de fait illégal, et encore moins que, par ignorance ou faute d'actualité du problème, elle soit en quelque sorte restée neutre. Il faut qu'elle manifeste d'une manière ou d'une autre sa position. Il n'est pas nécessaire pour autant qu'elle le fasse par un acte explicite; elle sera liée si l'administré, sachant qu'elle est au courant, peut de bonne foi conclure de son mutisme qu'elle considère la situation comme régulière ou qu'elle a renoncé à exiger l'exécution de la prestation qu'il doit (Pierre Moor, Droit administratif, Berne 2012, vol. I, n° 6.4.2.3 p. 929; CDAP AC.2019.0404 du 9 novembre 2020 consid. 7a; AC.2016.0290 du 21 septembre 2017 consid. 3a/aa).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AC.2021.0047 du 4 mars 2022 consid. 7a). b) A ux termes de l'art. 128 LATC relatif au permis d'habiter ou d'utiliser,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S elon l'art. 79 al. 1 RLATC ,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La municipalité statue après inspection par la commission de salubrité; cette inspection fait l'objet d'un rapport spécial (art. 80 RLATC).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(CDAP AC.2018.0096 du 18 mars 2019 consid. 2a/bb; AC.2015.0087 du 9 février 2016 consid. 2a). Ce qui n'a pas été autorisé dans le permis de construire ne peut pas être autorisé a posteriori par le biais du permis d'habiter (CDAP AC.2021.0286 du 13 septembre 2022 consid. 3a/aa; AC.2020.0329 du 28 octobre 2021 consid. 3c; AC.2020.0189 précité consid. 2d). c) En l'espèce, les plans ayant conduit en 1996 à la délivrance du permis de construire la villa de la recourante prévoyaient au sous-sol uniquement des disponibles (cave, abri, local technique), mais pas de locaux habitables ni de WC, ainsi que l'ont confirmé la recourante et son époux à l'audience. L'utilisation du sous-sol comme bureau qui s'en est immédiatement suivie n'a donc pas été autorisée par le permis de construire. La recourante ne saurait à cet égard tirer argument du fait que l'autorité intimée avait connaissance de l'usage du sous-sol lorsqu'elle a délivré le permis d'habiter en 1999. Ledit permis, qui ne contient aucune mention spéciale relative au sous-sol, n'a en effet pas eu d'autre portée que celle de constater que ce qui était prévu dans les plans avait été réalisé. Toute autre affectation du sous-sol ne pouvait quoi qu'il en soit pas être régularisée dans ce cadre (cf. en ce sens CDAP AC.2020.0189 précité consid. 2d) dès lors que, comme on l'a vu plus haut, ce qui n'a pas été autorisé dans le permis de construire ne peut pas être autorisé a posteriori par le biais du permis d'habiter. Il est vrai que l'autorité intimée paraît avoir fait preuve d'une certaine tolérance s'agissant de l'usage effectif fait du sous-sol, dont elle a dès le début eu connaissance qu'il était utilisé comme bureau (cf. p.-v. d'audience). Selon les explications données à l'audience, cela s'expliquait par le fait que cet espace n'était à l'époque pas occupé en permanence par l'époux de la recourante, mais uniquement de manière occasionnelle dans la mesure où celui-ci se trouvait la plupart du temps sur les chantiers pour exercer son activité d'architecte (cf. p.-v. d'audience). Quoi qu'il en soit, il y a lieu de constater que la municipalité n'a jamais formellement autorisé l'affectation à l'habitation du sous-sol. La recourante ne saurait dans ces conditions se prévaloir d'un quelconque droit acquis relatif à la création d'un second logement à ce niveau, ni d'un comportement contradictoire de l'autorité intimée qui serait contraire aux principes de la bonne foi et de la confiance. Le grief formulé sur ce point doit en conséquence être rejeté.</w:t>
      </w:r>
    </w:p>
    <w:p>
      <w:r>
        <w:rPr>
          <w:b/>
        </w:rPr>
        <w:t>E. 6</w:t>
      </w:r>
    </w:p>
    <w:p>
      <w:r>
        <w:t>Il convient d'examiner la réglementarité du logement créé au sous-sol de la villa. a) Il ressort de la décision attaquée que l'autorité intimée a refusé de régulariser le changement d'affectation du sous-sol en logement au motif que la création d'un troisième niveau habitable contrevient à l'art. 49 RPGA. Dans le cadre de la procédure de recours, elle oppose un second motif de refus, soit que l'admission d'un logement au sous-sol conduirait à un dépassement de l'indice d'utilisation du sol (IUS). b) aa) L'art. 47 RPGA prévoit que dans la zone de villas l'IUS est de 0.25. bb) Pour ce qui est du respect de l'IUS, comme l'ont relevé les représentants de l'autorité intimée lors de l'audience sans être contredits, il subsiste actuellement 3 m 2 disponibles par rapport au maximum admissible. Une régularisation du studio aménagé au sous-sol conduirait ainsi à un important dépassement de l'IUS, la vision locale ayant permis de constater que la surface du sous-sol est supérieure à celle annoncée par la recourante et dépasse en tous les cas 30 m 2 . A cela s'ajoute qu'une régularisation du changement d'affectation du sous-sol implique de toute manière le respect des art. 25 ss RLATC relatifs à la salubrité des constructions. Or, le studio litigieux ne respecte a priori pas les exigences réglementaires en matière d'éclairage (art. 28 RLATC), la vision locale ayant montré que la chambre à coucher est uniquement éclairée par un saut-de-loup. c) Comme le logement créé au sous-sol implique un dépassement de l'IUS et pose également problème au regard des exigences posées par l'art. 28 RLATC, la question de savoir si l'art. 49 RPGA relatif au nombre de niveaux est respecté souffre de demeurer indécise. Il n'est ainsi pas nécessaire d'examiner si, au regard de l'art. 49 RATC, l'affectation du sous-sol à l'habitation serait admissible au motif qu'elle respecte les deux conditions posées par l'art. 49 al. 4 RPGA, en ce sens que le terrain de sa parcelle présente une pente et que la surface du sous-sol représente moins de la moitié de celle du rez. d) Vu ce qui précède, c'est à juste titre que l'autorité intimée a refusé de régulariser le changement d'affectation du sous-sol en logement. La décision attaquée doit être confirmée sur ce point et les griefs de la recourante être écartés.</w:t>
      </w:r>
    </w:p>
    <w:p>
      <w:r>
        <w:rPr>
          <w:b/>
        </w:rPr>
        <w:t>E. 7</w:t>
      </w:r>
    </w:p>
    <w:p>
      <w:r>
        <w:t>La régularisation du logement réalisé au sous-sol de la villa de la recourante n'étant pas envisageable, il convient encore d'examiner si l'ordre de remise en état contenu dans la décision attaquée est conforme aux principes de la bonne foi et de la proportionnalité. a) Selon l'art. 105 al. 1 LATC,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(CDAP AC.2021.0306 du 1 er novembre 2022 consid. 3a/bb; AC.2021.0138 du 28 octobre 2022 consid. 10a). Lorsqu'une construction déjà réalisée contrevient aux règles légales et ne peut par conséquent être autorisée a posteriori ,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Le principe de proportionnalité exige qu'une mesure restrictive soit apte à produire les résultats escomptés (règle de l'aptitude) et que ceux-ci ne puissent être atteints par des mesures moins incisives (règle de la nécessité); en outre, il interdit toute limitation allant au-delà du but visé et exige un rapport raisonnable entre ce but et les intérêts publics ou privés compromis (principe de la proportionnalité au sens étroit – ATF 142 I 76 consid. 3.5.1; 140 I 68 consid. 4.2.1). D'après la jurisprudence, l'ordre de démolir une construction édifiée sans droit et pour laquelle une autorisation ne peut être accordée n'est en soi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 TF 1C_6/2021 du 17 août 2021 consid. 3.1). Même un constructeur qui n'est pas de bonne foi peut invoquer le principe de proportionnalité (TF 1C-6/2021 précité consid. 3.1; CDAP AC.2022.0232 du 14 mars 2023 consid. 3b).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Le tribunal est ainsi amené à rechercher quelle mesure serait, en l’espèce, la moins incisive afin de rétablir une situation réglementaire, à savoir celle qui prévalait avant la construction de l’ouvrage litigieux (CDAP AC.2021.0138 précité consid. 10a; AC.2021.0180 du 14 avril 2022 consid. 7a/bb ). b) La recourante soutient qu'aucun intérêt ne justifie une remise en état. Elle fait valoir que l'intérêt public au respect de la règle limitant le nombre d'étages doit être relativisé dès lors que les dispositions de police sont respectées et qu'il n'y a pas de danger concret pour la vie ou la santé des habitants ou des passants. Elle ajoute que les travaux effectués au sous-sol sont sans incidence sur les intérêts des voisins. L'autorité intimée considère que l'ordre de remise en état est justifié et proportionné. Elle invoque l'intérêt public à faire appliquer la réglementation applicable, en relevant que le fait d'autoriser un logement au sous-sol conduirait à une transgression du CUS, créerait un précédent et reviendrait à accorder une prime à celui qui met l'autorité devant le fait accompli. c) En réaménageant sans autorisation le sous-sol de sa villa pour y réaliser un logement, la recourante a placé l'autorité intimée devant le fait accompli. Sa bonne foi ne saurait ainsi être retenue et elle devait s'attendre à ce que l'autorité intimée se préoccupe davantage de rétablir une situation conforme au droit que de lui éviter des inconvénients (cf. consid. 7a ci-dessus). Pour ce qui est de la pesée des intérêts en présence, on relève que la dérogation à la règle n'apparaît pas mineure puisqu'elle concerne – à tout le moins – un dépassement important de la surface brute utile de plancher admissible pour la parcelle. Or, les prescriptions en matière d'IUS, lesquelles ont pour but essentiel de limiter la densité des habitations sur chaque parcelle, revêtent des fonctions importantes d'aménagement du territoire et d'urbanisme, dès lors que la limitation de la densité des constructions influe inévitablement sur la trame et la forme urbaine d'un quartier donné, et permet aussi de définir ou de maintenir les caractéristiques du tissu bâti. Il s'agit là d'un intérêt public important qui l'emporte sur l'intérêt privé de la recourante au maintien des surfaces habitables excédentaires (cf. en ce sens CDAP AC.2018.0096 du 18 mars 2019 consid. 5b), cela d'autant plus que la création d'un second logement dans sa villa ne semble justifiée par aucune circonstance objective mais paraît au contraire relever de motifs de pure convenance. Enfin, l'ordre de remise en état, dans la mesure où il exige uniquement la résiliation du bail du locataire de la recourante (cf. p.-v. d'audience) mais non le démontage de la cuisine équipée et de la douche posés en 2020, est en l'occurrence conforme au principe de la proportionnalité, ce que la recourante ne conteste au demeurant pas. La décision attaquée doit ainsi également être confirmée sur ce point.</w:t>
      </w:r>
    </w:p>
    <w:p>
      <w:r>
        <w:rPr>
          <w:b/>
        </w:rPr>
        <w:t>E. 8</w:t>
      </w:r>
    </w:p>
    <w:p>
      <w:r>
        <w:t>La recourante se prévaut du principe de l'égalité de traitement. Elle invoque l'existence dans le secteur de plusieurs bâtiments présentant une typologie similaire à sa villa, soit un rez-de-chaussée, un ou deux niveaux sous les combles, ainsi qu'un sous-sol aménagé.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TF 1C_236/2021 du 27 janvier 2022 consid. 2.2.1). Les situations comparées ne doivent pas nécessairement être identiques en tous points, mais leur similitude doit être établie en ce qui concerne les éléments de fait pertinents pour la décision à prendre (ATF 144 I 113 consid. 5.1.1; 142 I 195 consid. 6.1; TF 1C_270/2021 du 1 er octobre 2021 consid. 3.1).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TF 1C_270/2021 précité consid. 3.1; 1C_149/2020 du 8 décembre 2020 consid. 8.1; 1C_338/2019 du 24 juin 2020 consid. 3.1.2).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122 II 446 consid. 4a p. 451 s; TF 1C_436/2014 du 5 janvier 2015 consid. 5.1; CDAP AC.2021.0138 du 28 octobre 2022 consid. 7a). b) En l'occurrence, il n'est pas établi que les diverses constructions mises en exergue par la recourante lors de l'inspection locale présenteraient une situation de fait en tous points comparable à celle de la villa de la recourante. Il n'est en outre pas exclu que, dans certains cas, le changement d'affectation du sous-sol de ces constructions ait pu être opéré sans avoir fait l'objet d'une procédure d'autorisation, partant à l'insu de l'autorité intimée. Ces points peuvent quoi qu'il en soit demeurer indécis dans la mesure où l'autorité intimée a clairement indiqué dans ses écritures et lors de l'audience, par la voix de son mandataire, sa volonté ferme d'appliquer son règlement communal et de ne plus admettre de telles situations, explications qu'il n'y a pas lieu de mettre en doute. Ainsi, bien qu'on ne puisse exclure que certaines habitations de la zone villas aient par le passé éventuellement pu bénéficier d'une application erronée de la réglementation communale, tout indique que l'autorité intimée entend devenir plus stricte dans l'application des dispositions réglementaires, notamment celles relatives à l'IUS, lorsqu'elle a connaissance de la création d'un logement supplémentaire dans la zone villas. Dans ces conditions, aucune violation du principe de l'égalité de traitement ne saurait être retenue.</w:t>
      </w:r>
    </w:p>
    <w:p>
      <w:r>
        <w:rPr>
          <w:b/>
        </w:rPr>
        <w:t>E. 9</w:t>
      </w:r>
    </w:p>
    <w:p>
      <w:r>
        <w:t>Les considérants qui précèdent conduisent au rejet du recours et à la confirmation de la décision attaquée. Succombant, la recourante supportera les frais de la cause et n'a pas droit à des dépens. Elle versera en outre des dépens à la Commune d'Aclens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