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AC.2022.0236 vom 24. Juli 2023</w:t>
      </w:r>
    </w:p>
    <w:p>
      <w:r>
        <w:t>VD Tribunal cantonal, 2023-07-24, FR</w:t>
      </w:r>
    </w:p>
    <w:p>
      <w:r>
        <w:rPr>
          <w:b/>
        </w:rPr>
        <w:t xml:space="preserve">Quelle: </w:t>
      </w:r>
      <w:r>
        <w:t>https://mcp.opencaselaw.ch/entscheid/vd_omni_AC.2022.0236</w:t>
      </w:r>
    </w:p>
    <w:p>
      <w:r>
        <w:t>FR: VD_OMNI AC.2022.0236 du 24 juillet 2023</w:t>
      </w:r>
    </w:p>
    <w:p>
      <w:r>
        <w:t>IT: VD_OMNI AC.2022.0236 del 24 luglio 2023</w:t>
      </w:r>
    </w:p>
    <w:p>
      <w:pPr>
        <w:pStyle w:val="Heading2"/>
      </w:pPr>
      <w:r>
        <w:t>Regeste</w:t>
      </w:r>
    </w:p>
    <w:p>
      <w:r>
        <w:t>A.________ et B.________ /Municipalité de Borex, Direction générale de la mobilité et des routes DGMR | Recours contre une décision de la municipalité refusant aux recourants la délivrance du permis de construire pour la démolition du portail existant et la reconstruction d’un nouveau portail à moins de 5 mètres du bord de la chaussée, en dérogation à l’art. 7 RLRou. Les recourants estiment que leur portail devrait être assimilé à une clôture relevant des art. 39 LRou et 8 RLRou. Il convient de confirmer l'appréciation de l'autorité intimée et d'appliquer les art. 37 LRou et 7 RLRou. Pas d'inégalité de traitement dans le cas présent. Dès lors que les recourants ont déjà procédé à la démolition de leur portail précédent, ils ne peuvent se prévaloir de la garantie de la situation acquise, au contraire d’autres propriétaires. Rejet du recours.</w:t>
      </w:r>
    </w:p>
    <w:p>
      <w:pPr>
        <w:pStyle w:val="Heading2"/>
      </w:pPr>
      <w:r>
        <w:t>Erwägungen</w:t>
      </w:r>
    </w:p>
    <w:p>
      <w:r>
        <w:rPr>
          <w:b/>
        </w:rPr>
        <w:t>E. 1</w:t>
      </w:r>
    </w:p>
    <w:p>
      <w:r>
        <w:t>Interjeté en temps utile auprès de l'autorité compétente (art. 92ss et 95 de la loi vaudoise du 28 octobre 2008 sur la procédure administrative [LPA-VD; RSV 173.36]), le recours satisfait aussi aux autres conditions formelles de recevabilité (cf. art. 75, 79 et 99 LPA-VD), de sorte qu'il y a lieu d'entrer en matière sur le fond.</w:t>
      </w:r>
    </w:p>
    <w:p>
      <w:r>
        <w:rPr>
          <w:b/>
        </w:rPr>
        <w:t>E. 2</w:t>
      </w:r>
    </w:p>
    <w:p>
      <w:r>
        <w:t>Les recourants sollicitent, au titre de mesures d'instruction, la tenue d'une inspection locale ainsi que la production de la totalité des dossiers de mise à l'enquête pour des portails des quinze dernières années dans la commune de Borex, ainsi que la preuve documentée d'un éventuel accident survenu sur la route de Grens en raison d'un portail. a) Tel que garanti par l'art. 29 al. 2 de la Constitution fédérale du 18 avril 1999 de la Confédération suisse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(ATF 145 I 73 consid. 7.2.2.1; TF 1C_38/2020 et 1C_39/2020 du 7 octobre 2020 consid. 4 et les références citées). b) En l'espèce, le dossier de la cause apparaît suffisamment complet pour statuer en l'état, au vu notamment des plans du projet litigieux ainsi que du dossier de photographies produit par les recourants. Il n'apparaît dès lors pas nécessaire de procéder à une inspection locale. Concernant la demande d'édition des dossiers de mise à l'enquête des portails dans la commune de Borex sur les quinze dernières années, la municipalité a produit quelques rapports de son service technique relatifs à d'autres projets de portail, qui paraissent suffisants pour se déterminer sur la pratique municipale relative à ce genre de constructions. Enfin, on peine à saisir la pertinence d'instruire la survenance éventuelle d'accidents qui auraient eu lieu, étant rappelé que l'objectif des dispositions légales en matière de constructions à proximité d'une route est de prévenir des accidents. Il n'est dès lors pas donné suite aux mesures d'instructions requises, le tribunal s'estimant suffisamment renseigné au vu du dossier et vu aussi les motifs qui suivent.</w:t>
      </w:r>
    </w:p>
    <w:p>
      <w:r>
        <w:rPr>
          <w:b/>
        </w:rPr>
        <w:t>E. 3</w:t>
      </w:r>
    </w:p>
    <w:p>
      <w:r>
        <w:t>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w:t>
      </w:r>
    </w:p>
    <w:p>
      <w:r>
        <w:rPr>
          <w:b/>
        </w:rPr>
        <w:t>E. 4</w:t>
      </w:r>
    </w:p>
    <w:p>
      <w:r>
        <w:t>Les recourants se plaignent d'une violation du principe de l'égalité de traitement en référence à d'autres portails similaires qui auraient été aménagés sur le territoire communal et qui seraient en tous points similaires à celui qu'ils projettent de construire. Ils ont produit à cet effet un lot de photographies.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142 I 195 consid. 6.1 et les références; TF 1C_3/2021 du 26 août 2021 consid. 4.1). b) La municipalité indique avoir pour pratique d'assimiler les portails aux garages et d'appliquer les art. 37 LRou et 7 RLRou. Elle relève que seul un cas a été autorisé en 2017, mais selon les rapports ultérieurs du ST, il est de pratique constante d'appliquer ces dispositions. Elle s'appuie sur les différents rapports de son service technique qu'elle qualifie d'expertise pour justifier sa position (cf. notamment pièces n os 10 et 11 du bordereau communal). Ces rapports portent sur des projets comportant un portail et traités en 2020. Ils se réfèrent, à l'instar du rapport élaboré dans le cadre de la demande formée par les recourants, à l'art. 7 RLRou. Il n'y a ainsi pas lieu de remettre en cause la pratique municipale à cet égard, qui tend à maintenir une pratique stricte pour des motifs de sécurité routière. Au demeurant, il ressort de ces documents que la présence éventuelle de portails non conformes aux distances prescrites par ces dispositions sont plus anciennes et susceptibles de relever de la garantie des situations acquises, sans toutefois que cela soit constitutif d'une inégalité de traitement. Dès lors que les recourants ont déjà procédé à la démolition de leur portail précédent, ils ne peuvent se prévaloir de la garantie de la situation acquise s'agissant d'une construction entièrement nouvelle. Mal fondé, ce grief doit être rejeté.</w:t>
      </w:r>
    </w:p>
    <w:p>
      <w:r>
        <w:rPr>
          <w:b/>
        </w:rPr>
        <w:t>E. 5</w:t>
      </w:r>
    </w:p>
    <w:p>
      <w:r>
        <w:t>Il résulte des considérants qui précèdent que le recours, mal fondé, doit être rejeté et la décision attaquée confirmée. Les recourants, qui succombent, supportent les frais de justice, solidairement entre eux (art. 49 al. 1, 51 al. 2 LPA-VD; art. 4 du tarif des frais judiciaires et des dépens en matière administratives [TFJDA; BLV 173.36.5.1]). Ceux-ci verseront des dépens à la Commune de Borex laquelle a procédé avec l'assistance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