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AC.2022.0231 vom 28. Februar 2023</w:t>
      </w:r>
    </w:p>
    <w:p>
      <w:r>
        <w:t>VD Tribunal cantonal, 2023-02-28, FR</w:t>
      </w:r>
    </w:p>
    <w:p>
      <w:r>
        <w:rPr>
          <w:b/>
        </w:rPr>
        <w:t xml:space="preserve">Quelle: </w:t>
      </w:r>
      <w:r>
        <w:t>https://mcp.opencaselaw.ch/entscheid/vd_omni_AC.2022.0231</w:t>
      </w:r>
    </w:p>
    <w:p>
      <w:r>
        <w:t>FR: VD_OMNI AC.2022.0231 du 28 février 2023</w:t>
      </w:r>
    </w:p>
    <w:p>
      <w:r>
        <w:t>IT: VD_OMNI AC.2022.0231 del 28 febbraio 2023</w:t>
      </w:r>
    </w:p>
    <w:p>
      <w:pPr>
        <w:pStyle w:val="Heading2"/>
      </w:pPr>
      <w:r>
        <w:t>Regeste</w:t>
      </w:r>
    </w:p>
    <w:p>
      <w:r>
        <w:t>A.________ et B.________ /Municipalité de Froideville, SWISSCOM (Suisse) SA, Direction générale de l'environnement DGE-DIREV | Recours contre la délivrance d'un permis de construire touchant l'installation de plusieurs antennes de téléphonie mobile sur un mât à Froideville, sur l'espace compris entre la déchetterie communale et la route cantonale. Pas de récusation de la municipalité amenée à statuer sur la demande de permis concernant une parcelle appartenant à la commune (consid. 2). L'installation n'est pas contraire au droit fédéral pour le motif qu'elle dessert nettement plus la zone non constructible que la zone constructible (consid. 3). La distance à la route est suffisante (consid. 4). L'installation n'est pas de nature à enlaidir un site particulièrement digne de protection: la seule hauteur, certes importante, ne justifie pas l'application de la clause d'esthétique (consid. 5). Rejet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vaudoise du 28 octobre 2008 sur la procédure administrative (LPA-VD; BLV 173.36). Le présent recours a été déposé en temps utile (art. 95 LPA-VD), et il respecte les autres conditions formelles de recevabilité (notamment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AC.2022.0009 du 17 janvier 2023 consid. 1). En l'espèce, selon les données calculées par l'opérateur, la distance déterminante est d'environ 2 km; les recourants, qui sont propriétaires de la parcelle n o 631 de la commune de Froideville, à environ 250 mètres de la déchetterie, satisfont à cette condition. Il y a donc lieu d'entrer en matière.</w:t>
      </w:r>
    </w:p>
    <w:p>
      <w:r>
        <w:rPr>
          <w:b/>
        </w:rPr>
        <w:t>E. 2</w:t>
      </w:r>
    </w:p>
    <w:p>
      <w:r>
        <w:t>Les recourants estiment d'abord que l'autorité intimée aurait dû se récuser in corpore dès lors qu'elle devait statuer sur une demande de permis de construire pour une parcelle appartenant à la commune. a) aa) L'art. 65a al. 1 de la loi vaudoise du 28 février 1956 sur les communes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Le Tribunal cantonal est compétent pour statuer sur une demande de récusation d'un ou de municipaux dans le cadre d'une procédure de permis de construire (CDAP 2020.0210 du 10 août 2021 consid. 3c/aa). Les dispositions sur la récusation sont, en principe, moins sévères pour les membres des autorités administratives et gouvernementales que pour les autorités judiciaires (ATF 140 I 326 consid. 5.2; TF 1C_16/2022 du 13 décembre 2022 consid. 4; CDAP AC.2021.0157 du 14 septembre 2022 consid. 3a). La récusation de membres des autorités du pouvoir exécutif doit être examinée en tenant compte de la mission et de l'organisation desdites autorités. Celles-ci assument avant tout des tâches de gouvernement, de direction et de gestion. Leurs tâches impliquent le cumul de fonctions diverses, qui ne pourraient pas être séparées sans atteinte à l'efficacité de la gestion et à la légitimité démocratique et politique des décisions correspondantes; en outre, elles exigent souvent des prises de position publiques (ATF 125 I 119 consid. 3d; 121 I 252 consid. 2; TF 1C_16/2022 précité consid. 4). Contrairement à l'art. 30 al. 1 de la Constitution fédérale du 18 avril 1999 (Cst.; RS 101), qui ne concerne que les procédures judiciaires, l'art. 29 al. 1 Cst. n'impose en effet pas l'indépendance et l'impartialité comme maxime d'organisation des autorités gouvernementales, administratives ou de gestion et n'offre pas, dans ce contexte, une garantie équivalente à celle applicable aux tribunaux (ATF 125 I 209 consid. 8a; TF 2C_975/2014 du 27 mars 2015 consid. 3.2; CDAP AC.2021.0157 précité consid. 3a). Une demande de récusation doit en principe être dirigée contre des personnes physiques déterminées – susceptibles de connaître une situation de conflit d'intérêts privés – et non contre une autorité dans son ensemble (ATF 122 II 471 consid. 3b). La récusation d'une autorité in corpore doit ainsi rester l'exception si l'on ne veut pas vider la procédure et la réglementation de l'administration de son sens (TF 1C_44/2019 du 29 mai 2019 consid. 4.3; CDAP AC.2020.0210 précité consid. 3c/aa). bb) Selon la jurisprudence constante (CDAP AC.2020.0210 précité consid. 3c/aa; AC.2019.0109 du 19 février 2020 consid. 2; AC.2016.0013 du 9 octobre 2017 consid. 3), les représentants d'une commune n'ont pas l'obligation de principe de se récuser lorsqu'ils statuent sur des projets de construction dont leur commune est le maître d'oeuvre; ce faisant, ils poursuivent en effet des intérêts publics et n'agissent pas en fonction de leurs intérêts personnels (ATF 107 Ia 135 consid. 2b; TF 1C_555/2015 du 30 mars 2016 consid. 4.1).Tel est également le cas lorsque la commune n'est pas maître de l'ouvrage mais plus indirectement intéressée en tant que propriétaire du terrain sur lequel a été constitué un droit de superficie en faveur de la constructrice (CDAP AC.2020.0210 précité consid. 3c/aa; AC.2016.0013 du 9 octobre 2017 consid. 3b/dd). b) En l'occurrence, les recourants n'établissent pas que les membres de la municipalité auraient poursuivi leurs intérêts personnels en délivrant le permis litigieux. De même, ils exposent que la municipalité était sous l'emprise d'un conflit d'intérêts, sans expliquer en quoi il consiste concrètement, se bornant à alléguer que "[l] edit projet permettra à la Commune de bénéficier de rentrées financières ". Le fait que 51 oppositions ont été formées à l'encontre du projet ne constitue à l'évidence pas un motif de récusation. Il apparaît ainsi qu'en octroyant le permis de construire, l'autorité intimée poursuivait un objectif d'intérêt public lié au développement des services de télécommunication (cf. art. 1 de la loi fédérale du 30 avril 1997 sur les télécommunications [LTC; RS 784.10]; ATF 141 II 245 consid. 7.1) et des capacités de celui-ci: elle n'avait ainsi, conformément à la jurisprudence susmentionnée, pas à se récuser pour statuer sur la demande de permis, quand bien même cette dernière concerne une parcelle appartenant à la commune de Froideville. Il s'ensuit que le grief, mal fondé, doit être écarté.</w:t>
      </w:r>
    </w:p>
    <w:p>
      <w:r>
        <w:rPr>
          <w:b/>
        </w:rPr>
        <w:t>E. 3</w:t>
      </w:r>
    </w:p>
    <w:p>
      <w:r>
        <w:t>Les recourants font ensuite valoir qu'en zone à bâtir, les antennes de téléphonie mobile ne sont conformes à l'affectation que si leur emplacement et leur configuration sont en rapport direct et fonctionnel avec l'endroit où elles sont prévues et si elles desservent tout ou partie de la zone à bâtir. Dans la mesure où les antennes litigieuses couvriront principalement des espaces hors zone à bâtir, ces dernières ne sont, selon eux, pas conformes à la zone. a) Dans une jurisprudence constante, le Tribunal fédéral considère qu'en vertu du droit fédéral, les installations de téléphonie mobile n'ont en principe pas à faire l'objet d'une planification spéciale; elles doivent en priorité être érigées en zone constructible (ATF 142 I 26 consid. 4.2; TF 1C_371/2020 du 9 février 2021 consid. 3.2 et les arrêts cités). En raison de la diffusion des ondes, il est cependant inévitable que la couverture pour une zone déterminée, par exemple la zone à bâtir, déborde sur une autre zone, par exemple la zone agricole (ATF 138 II 173 consid. 5.4). Un réseau de téléphonie mobile est composé d'un grand nombre de cellules, chacune comprenant une antenne qui établit une liaison radio avec les téléphones portables (et les autres appareils reliés par ondes radio) qui se trouvent à proximité. En général, une station de base de téléphonie mobile alimente plusieurs cellules. Chaque antenne ne peut transmettre qu'un volume de données limité. L'intensité de l'utilisation détermine donc la taille d'une cellule. Dans les zones rurales, où le nombre de téléphones portables actifs par unité de surface est relativement faible, les cellules ont un rayon de plusieurs kilomètres, contre seulement quelques centaines de mètres dans les zones urbaines (CDAP AC.2022.0009 du 17 janvier 2023 consid. 6a). Plus la demande de transmission mobile de données est grande, plus les cellules sont petites et plus le réseau d'antennes émettrices est dense. Par conséquent, la zone couverte concerne souvent, à côté du territoire bâti, de relativement grandes surfaces non bâties; si de telles installations sont implantées en zone constructible, elles ne sollicitent pas la zone agricole et ne portent donc pas préjudice au principe de la séparation du territoire bâti et non bâti; on ne peut donc pas déduire de ces principes qu'une installation de téléphonie mobile implantée en zone constructible ne doit servir qu'à couvrir cette seule zone; au contraire, une telle installation située en zone à bâtir n'est pas contraire au principe de la séparation du milieu bâti et du milieu non bâti du simple fait qu'elle dessert nettement plus la zone non constructible que la zone constructible (ATF 141 II 245 consid. 2.4; TF 1C_294/2015 du 3 février 2016 consid. 2.1). b) En l'occurrence, la commune de Froideville se trouve sur un territoire essentiellement rural. Selon la carte synoptique de l'OFCOM, plusieurs stations émettrices permettent à ses habitants d'accéder au réseau de téléphonie mobile: les deux antennes situées à l'est et au nord du village, sur des pylônes de lignes à haute tension, l'antenne de la Rama, en contrebas de la commune, ainsi que celle du Chalet Curial, au nord-ouest (cette dernière est exploitée par un autre opérateur). Le projet d'installation de téléphonie mobile, qui a principalement pour but d'améliorer la couverture du village ainsi que des routes d'accès, tout en développant les capacités du réseau, est prévu sur la parcelle n o 487, en zone d'utilité publique, dans l'espace compris entre la déchetterie communale de Froideville et la route cantonale. Cette zone à bâtir n'est pas située dans le prolongement direct des zones d'habitation et mixtes du village, mais elle se trouve plutôt à la périphérie. L'autorité intimée a proposé ce terrain après que des habitants ont fait part de leurs réticences à propos de l'installation d'une antenne au centre du village. Les antennes projetées couvrent, en l'espèce, en grande partie des zones rurales. Or, conformément à la jurisprudence susmentionnée, une installation de téléphonie mobile en zone à bâtir n'est pas contraire au droit fédéral pour le motif qu'elle dessert nettement plus la zone non constructible que la zone constructible. Le projet est par ailleurs conforme à l'affectation de la zone d'utilité publique, contrairement à ce que soutiennent les recourants: l'art. 15.1 du règlement général sur l'aménagement du territoire et les constructions (RGATC) de la commune de Froideville dresse la liste non-exhaustive des " aménagements et installations ayant un caractère d'utilité publique ": cela englobe les antennes de téléphonie mobile dès lors qu'elles servent à l'accomplissement d'une tâche publique prévue par la législation fédérale sur les télécommunications. Ainsi, le choix de l'implantation des antennes litigieuses n'est, sous l'angle de la conformité à l'affectation de la zone, pas critiquable. Il s'ensuit que le grief est rejeté.</w:t>
      </w:r>
    </w:p>
    <w:p>
      <w:r>
        <w:rPr>
          <w:b/>
        </w:rPr>
        <w:t>E. 4</w:t>
      </w:r>
    </w:p>
    <w:p>
      <w:r>
        <w:t>Il ne peut être établi en bordure des routes des clôtures en ronces artificielles ou présentant des parties acérées de nature à entraîner un danger pour les usagers de la route. b) En l'occurrence, on ne voit pas en quoi l'installation litigieuse diminuerait la visibilité, gênerait la circulation ou compromettrait la réalisation des corrections prévues de la route. Lors de l'inspection locale, la CDAP a pu constater, depuis l'emplacement situé entre la déchetterie et la route, le tracé de celle-ci, en particulier le contour qu'elle forme vers la gauche en descendant vers Cugy. Un panneau routier attire d'ailleurs l'attention des usagers de la route sur la présence de ce virage. Le but des distances à l'axe de la route est de garantir une certaine visibilité, laquelle peut être obstruée par les aménagements extérieurs qui bordent la route. Or, l'installation de téléphonie n'a aucun impact sur la visibilité ni ne gêne la circulation. Il semble par ailleurs que les recourants critiquent le danger que représente l'installation en tant que telle, notamment en raison du risque de collision pour les motards qui circuleraient à grande vitesse sur ce tronçon. Un tel danger est abstrait et, en fin de compte, inhérent à l'utilisation de toute route ouverte au public et qui fait partie du domaine public, cantonal ou communal. Les recourants n'ont pas démontré que le projet litigieux rendrait ce danger sérieux au point qu'il faille le refuser. Un motard qui quitterait la route dans la courbe ascendante aurait peu de risques d'entrer en collision avec la nouvelle installation, vu la configuration des lieux. L'autorité intimée n'a ainsi pas violé le droit cantonal en retenant que la distance à la route – de plus de 10 mètres – était suffisante, étant rappelé que la Direction générale de la mobilité et des routes (DGMR), soit le service spécialisé de l'administration cantonale, n'a pas formulé de remarque sur ce point dans le cadre de la synthèse CAMAC.</w:t>
      </w:r>
    </w:p>
    <w:p>
      <w:r>
        <w:rPr>
          <w:b/>
        </w:rPr>
        <w:t>E. 5</w:t>
      </w:r>
    </w:p>
    <w:p>
      <w:r>
        <w:t>Les recourants se prévalent enfin de la clause d'esthétique, en alléguant que l'installation de téléphonie mobile, d'une hauteur de 40 mètres, s'intègre mal dans le paysage. a) aa) L'art. 86 de la loi du 4 décembre 1985 sur l'aménagement du territoire et les constructions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9.1 RGATC prévoit que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bb) Les installations de téléphonie mobile peuvent être soumises aux dispositions cantonales ou communales d'esthétique ou d'intégration (ATF 141 II 245 consid. 4.1).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(ATF 101 Ia 213 consid. 6c; TF 1C_465/2010 du 31 mai 2011 consid. 3.3). Aussi, si l'on ne peut nier qu'une antenne de téléphonie mobile présente nécessairement un aspect visuel déplaisant, encore faut-il, pour exclure son implantation, qu'elle péjore de manière incontestable les qualités esthétiques d'un endroit donné ( TF 1C_465/2010 précité consid. 3.3). b) En l'occurrence, l'endroit retenu pour l'installation des futures antennes ne présente pas de caractéristiques exceptionnelles méritant spécialement d'être protégées. La parcelle n o 487, affectée en zone d'utilité publique, supporte la déchetterie de la commune de Froideville; elle est bordée au sud par la route cantonale tandis qu'au nord-est se trouvent des bâtiments agricoles aux dimensions importantes, dont une étable de 40 x 30 mètres, haute d'une dizaine de mètres au faîte. Cette exploitation va être agrandie encore par l'adjonction d'un poulailler déjà au bénéfice d'un permis de construire. Les lieux, que l'on ne saurait qualifier de "sensibles" et que la commune ne considère à l'évidence pas comme tels, ne présentent guère d'intérêt esthétique; en d'autres termes, il s'agit d'un endroit en lisière de forêt qui a certes des qualités naturelles ou paysagères, mais qui ne se distingue pas des nombreux endroits comparables dans le Gros-de-Vaud ou le Jorat. Le choix d'implanter les antennes à cet endroit paraît au contraire judicieux, dans la mesure où elles seront regroupées avec les bâtiments existants, soit le local technique et le silo de la déchetterie, ainsi que, sur la parcelle voisine, les installations de l'exploitation agricole du syndic. La construction litigieuse se trouvera ainsi avec d'autres infrastructures volumineuses, sur une zone d'utilité publique suffisamment à l'écart du reste du village pour que le mât ne lui porte pas atteinte. Contrairement à ce que prétendent les recourants, la seule hauteur, certes importante (40 mètres), dudit mât n'est pas de nature à justifier que l'on refuse la délivrance du permis de construire pour des motifs d'ordre esthétique et d'intégration. La forêt à proximité ainsi que les foyards en lisière permettent d'offrir un arrière-plan, qui atténue considérablement l'impact visuel de l'antenne. Cette dernière, outre qu'elle s'inscrit dans un environnement constitué de bâtiments imposants, est accompagnée du silo de la déchetterie qui, par sa hauteur et son volume, présente un même aspect visuel déplaisant: l'on ne peut ainsi pas dire que l'installation projetée tranche avec un paysage dont elle péjorerait de manière incontestable les qualités. Il résulte de ce qui précède que l'installation litigieuse n'est pas de nature à enlaidir un site particulièrement digne de protection et que la seule hauteur, certes importante, n'est pas suffisante en l'espèce pour justifier une application de la clause d'esthétique. Mal fondé, le grief est rejeté.</w:t>
      </w:r>
    </w:p>
    <w:p>
      <w:r>
        <w:rPr>
          <w:b/>
        </w:rPr>
        <w:t>E. 6</w:t>
      </w:r>
    </w:p>
    <w:p>
      <w:r>
        <w:t>Les considérants qui précèdent conduisent au rejet du recours et à la confirmation de la décision attaquée. Un émolument judiciaire sera mis à la charge des recourants, qui succombent (art. 49 al. 1 LPA-VD). Ceux-ci supporteront également une indemnité de dépens en faveur de la commune,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