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AC.2022.0220 vom 26. Januar 2023</w:t>
      </w:r>
    </w:p>
    <w:p>
      <w:r>
        <w:t>VD Tribunal cantonal, 2023-01-26, FR</w:t>
      </w:r>
    </w:p>
    <w:p>
      <w:r>
        <w:rPr>
          <w:b/>
        </w:rPr>
        <w:t xml:space="preserve">Quelle: </w:t>
      </w:r>
      <w:r>
        <w:t>https://mcp.opencaselaw.ch/entscheid/vd_omni_AC.2022.0220</w:t>
      </w:r>
    </w:p>
    <w:p>
      <w:r>
        <w:t>FR: VD_OMNI AC.2022.0220 du 26 janvier 2023</w:t>
      </w:r>
    </w:p>
    <w:p>
      <w:r>
        <w:t>IT: VD_OMNI AC.2022.0220 del 26 gennaio 2023</w:t>
      </w:r>
    </w:p>
    <w:p>
      <w:pPr>
        <w:pStyle w:val="Heading2"/>
      </w:pPr>
      <w:r>
        <w:t>Regeste</w:t>
      </w:r>
    </w:p>
    <w:p>
      <w:r>
        <w:t>A.________/Municipalité de Prilly | Qualité pour recourir contre l'autorisation de réaliser des platelages sur le domaine public. Qualité déniée au recourant qui n'est pas un voisin direct de ces aménagements et ne prétend pas les voir depuis sa maison. Le fait qu'il indique passer tous les jours à l'endroit en question à vélo, à pied ou en voiture ne suffit pas. Au surplus, on ne se trouve pas en présence d'aménagements susceptibles d'entraîner des inconvénients sensibles pour les riverains ou pour les personnes utilisant régulièrement la route concernée.</w:t>
      </w:r>
    </w:p>
    <w:p>
      <w:pPr>
        <w:pStyle w:val="Heading2"/>
      </w:pPr>
      <w:r>
        <w:t>Erwägungen</w:t>
      </w:r>
    </w:p>
    <w:p>
      <w:r>
        <w:rPr>
          <w:b/>
        </w:rPr>
        <w:t>E. 1</w:t>
      </w:r>
    </w:p>
    <w:p>
      <w:r>
        <w:t>Il convient de déterminer en premier lieu l'objet du litige. Celui-ci concerne uniquement la construction des deux platelages. Il ne concerne en revanche pas la suppression des onze places de parc sur l'avenue de la Confrérie dès lors que celle-ci a fait l'objet d'une décision distincte publiée dans la Feuille des avis officiels en août 2021, aujourd'hui en force.</w:t>
      </w:r>
    </w:p>
    <w:p>
      <w:r>
        <w:rPr>
          <w:b/>
        </w:rPr>
        <w:t>E. 2</w:t>
      </w:r>
    </w:p>
    <w:p>
      <w:r>
        <w:t>Il convient d'examiner la qualité pour agir du recourant, qui est contestée par la municipalité. a) aa)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TF 1C_499/2021 du 28 octobre 2021 consid. 2; 2C_61/2019 du 21 janvier 2019 consid. 3.1).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w:t>
      </w:r>
    </w:p>
    <w:p>
      <w:r>
        <w:rPr>
          <w:b/>
        </w:rPr>
        <w:t>E. 2.1</w:t>
      </w:r>
    </w:p>
    <w:p>
      <w:r>
        <w:t>p. 46; 139 II 499 consid. 2.2 p. 504; TF 1C_327/2020 du 29 mars 2021 consid. 4.1; 1C_431/2017 du 11 mars 2019 consid. 3.1.1; CDAP AC.2019.0118 du 10 novembre 2020 consid. 1a; AC.2019.0245 du 1 er septembre 2020 consid. 2a; AC.2018.0329 du 2 septembre 2019 consid. 1a). bb)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137 II 30 consid. 2.2; TF 1C_286/2016 du 13 janvier 2017; CDAP AC.2021.0089 du 6 décembre 2021 consid. 1a). S'agissant des restrictions de circulation, la jurisprudence admet que, en présence de mesures susceptibles de rendre l’accès plus difficile à un endroit auparavant bien desservi, ce qui entraîne des inconvénients sensibles pour les riverains ou pour les personnes utilisant régulièrement la route concernée (résidents des environs, pendulaires), ces riverains ou automobilistes peuvent invoquer un intérêt digne de protection à l'annulation des restrictions (cf. CDAP GE.2020.0226 du 30 mars 2021 consid. 1c et les références citées: ATF 136 II 539 consid. 1, qui reconnaît la qualité pour recourir aux pendulaires dans une contestation relative à l'instauration d'une zone 30 sur une route de grand transit traversant une ville de 11'000 habitants; cf. aussi TF 1C_110/2020 du 26 novembre 2020, à propos de la création d'une zone de rencontre).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L'existence d'un intérêt idéal ne suffit ainsi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b) En l'espèce, le recourant n'est pas un voisin direct des aménagements litigieux puisque sa parcelle ne borde pas l' avenue de la Confrérie . Il ne prétend ainsi pas avoir une vue sur ces aménagements depuis sa maison. Comme il habite à proximité, il indique passer quasiment tous les jours devant les platelages à vélo, à pied ou en voiture. Il partage toutefois avec de nombreuses personnes cette qualité d'utilisateur habituel de la route susceptible de passer régulièrement devant les platelages. Cela ne saurait par conséquent constituer le rapport étroit, spécial et digne d'être pris en considération avec l'objet de la contestation qui pourrait lui conférer la qualité pour agir. Au surplus, ainsi que cela ressort des explications données par la municipalité, les aménagements litigieux n'ont pas d'impact sur la circulation sur l' avenue de la Confrérie. On ne se trouve par conséquent pas dans l'hypothèse d'aménagements susceptibles d'entraîner des inconvénients sensibles pour les riverains ou pour les personnes utilisant régulièrement la route concernée, ce qui pourrait leur conférer la qualité pour agir.</w:t>
      </w:r>
    </w:p>
    <w:p>
      <w:r>
        <w:rPr>
          <w:b/>
        </w:rPr>
        <w:t>E. 3</w:t>
      </w:r>
    </w:p>
    <w:p>
      <w:r>
        <w:t>Vu ce qui précède, faute d’intérêt digne de protection à l’annulation ou à la modification de la décision litigieuse , il convient de dénier à A.________ la qualité pour recourir, ce qui conduit à constater l'irrecevabilité de son recours sans qu'il soit nécessaire d'examiner les arguments développés sur le fond. Succombant, le recourant supportera les frais de la cause. La commune de Prilly, qui a procédé avec l'aide d'un mandataire professionnel, a droit à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