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AC.2022.0180 vom 17. Februar 2023</w:t>
      </w:r>
    </w:p>
    <w:p>
      <w:r>
        <w:t>VD Tribunal cantonal, 2023-02-17, FR</w:t>
      </w:r>
    </w:p>
    <w:p>
      <w:r>
        <w:rPr>
          <w:b/>
        </w:rPr>
        <w:t xml:space="preserve">Quelle: </w:t>
      </w:r>
      <w:r>
        <w:t>https://mcp.opencaselaw.ch/entscheid/vd_omni_AC.2022.0180</w:t>
      </w:r>
    </w:p>
    <w:p>
      <w:r>
        <w:t>FR: VD_OMNI AC.2022.0180 du 17 février 2023</w:t>
      </w:r>
    </w:p>
    <w:p>
      <w:r>
        <w:t>IT: VD_OMNI AC.2022.0180 del 17 febbraio 2023</w:t>
      </w:r>
    </w:p>
    <w:p>
      <w:pPr>
        <w:pStyle w:val="Heading2"/>
      </w:pPr>
      <w:r>
        <w:t>Regeste</w:t>
      </w:r>
    </w:p>
    <w:p>
      <w:r>
        <w:t>A.________/Municipalité de La Tour-de-Peilz, B.________ | Projet, sur deux parcelles où sont situées deux maisons mitoyennes, de remblayer l'accès au garage, de créer un saut-de-loup et des velux en toiture des villas mitoyennes ainsi que de construire un abri à vélos. Recours d'une société de promotion immobilière qui dispose d'un droit d'emption sur une parcelle adjacente. La recourante a qualité pour recourir (consid. 1). Rejet du grief selon lequel un bilan thermique aurait dû être effectué vu l'impact des ouvertures projetées sur l'isolation du bâtiment (consid. 3). Le nombre de places de parc restantes est conforme au règlement communal et à la norme VSS 40 281 (consid. 4). Le couvert à vélos est une dépendance et ne doit donc pas respecter la distance à la limite de propriété; l'ordre non contigu ne s'applique pas à deux dépendances de peu d'importance (consid. 5). Recours rejeté.</w:t>
      </w:r>
    </w:p>
    <w:p>
      <w:pPr>
        <w:pStyle w:val="Heading2"/>
      </w:pPr>
      <w:r>
        <w:t>Erwägungen</w:t>
      </w:r>
    </w:p>
    <w:p>
      <w:r>
        <w:rPr>
          <w:b/>
        </w:rPr>
        <w:t>E. 1</w:t>
      </w:r>
    </w:p>
    <w:p>
      <w:r>
        <w:t>er septembre 2020 consid. 2a; AC.2018.0329 du 2 septembre 2019 consid. 1a). b)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137 II 30 consid. 2.2; arrêt TF 1C_286/2016 du 13 janvier 2017; arrêt CDAP AC.2021.0089 du 6 décembre 2021 consid. 1a).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arrêt CDAP AC.2021.0089 précité consid. 1a).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arrêt TF 1A.179/1996 du 8 avril 1997 in RDAF 1997 I p. 242; arrêts CDAP AC.2020.0294 du 3 mai 2021 consid. 1b; AC.2019.0194 du 8 janvier 2020 consid. 1b). c) En l'espèce, la recourante dispose d'un droit d'emption sur la parcelle n° 964 qui est directement adjacente à celles du constructeur. En outre, les motifs invoqués à l'appui de son écriture portent en particulier sur la violation de ses droits procéduraux, des modalités d'enquête, respectivement des dispositions de droit des constructions. Si l'on peut s'interroger sur le préjudice potentiel pour la recourante quant à certains griefs, il n'est pas douteux que la violation de son droit d'être entendue ou l'impact sur le trafic local en lien avec une éventuelle augmentation de la surface habitable sont de nature à lui causer un préjudice, en sa qualité de bénéficiaire d'un droit d'emption sur une parcelle voisine. Ainsi, la qualité pour recourir de la recourante est démontrée.</w:t>
      </w:r>
    </w:p>
    <w:p>
      <w:r>
        <w:rPr>
          <w:b/>
        </w:rPr>
        <w:t>E. 2</w:t>
      </w:r>
    </w:p>
    <w:p>
      <w:r>
        <w:t>Dans un grief d'ordre formel, la recourante invoque que le permis de construire ne lui a pas été transmis, respectivement que celui-ci n'a pas été délivré simultanément à la décision levant son opposition. Elle invoque dans ce cadre une violation de son droit d'être entendu et du principe de coordination. a) L'art. 25a de la loi fédérale du 22 juin 1979 sur l'aménagement du territoire (LAT; RS 700) énonce, à ses al. 1 à 3, des principes en matière de coordination lorsque l'implantation ou la transformation d'une construction ou d'une installation nécessite des décisions émanant de plusieurs autorités. Une autorité chargée de la coordination doit notamment veiller à ce que toutes les pièces du dossier de requête soient mises en même temps à l'enquête publique (art. 25a al. 2 let. b  LAT), à ce qu'il y ait une concordance matérielle des décisions ainsi que, en règle générale, une notification commune ou simultanée (art. 25a al. 2 let. d  LAT). Les décisions ne doivent pas être contradictoires (al. 3). En vertu de l'ar t. 116 al. 1 de la loi du 4 décembre 1985 sur l'aménagement du territoire et les constructions (LATC; BLV 700.11), les opposants doivent être avisés de la décision accordant le permis, avec l'indication des dispositions légales et réglementaires, lorsque l'opposition est écartée. Cette disposition concrétise, sur certains points, la garantie constitutionnelle du droit d'être entendu (droit à une décision motivée). b) En l'espèce, la recourante ne se plaint pas que la décision sur opposition serait en contradiction matérielle avec le permis de construire ou avec les préavis des autorités cantonales. En fait, elle fait valoir une mauvaise coordination formelle car elle n'a pas reçu le permis de construire avec la décision relative à son opposition. La décision communiquée à la recourante fait cependant état de la délivrance du permis de construire en sus d'exposer les motifs pour lesquels les griefs formulés dans l'opposition sont écartés. La recourante était ainsi informée de cette délivrance à la même date que la décision sur opposition – attestée en outre par le permis produit au dossier – et pouvait le cas échéant consulter le dossier municipal afin d'en prendre connaissance pour préparer son recours. S'agissant du contenu des deux décisions, celui-ci n'est pas en contradiction. S'il est vrai que le permis délivré omet de rappeler la modification du projet en lien avec les ouvertures en toiture, celle-ci n'est pas contestée par le constructeur qui a modifié son projet, et a été clairement annoncée dans la décision sur opposition. On ne saurait dès lors y voir une violation de la concordance matérielle. Au demeurant, la recourante aurait pu prendre connaissance du permis de construire dans le cadre de la procédure de recours et faire valoir les éventuelles contradictions entre celui-ci et la décision levant son opposition, ce qu'elle n'a pas fait. Il n'y a donc pas eu de violation de son droit d'être entendu (pour une situation similaire cf. arrêt CDAP AC.2019.0073 du 12 novembre 2019 consid. 2). En outre, comme la décision d'octroi du permis de construire, que la municipalité devait prendre en application de l'art. 114 LATC, est concomitante au rejet de l'opposition (cf. art. 116 LATC), on ne saurait reprocher à l'autorité communale d'avoir levé l'opposition avant de rendre sa décision destinée au constructeur (cf. à ce propos arrêt TF 1C_445/2014 du 12 janvier 2015 consid. 2.3).</w:t>
      </w:r>
    </w:p>
    <w:p>
      <w:r>
        <w:rPr>
          <w:b/>
        </w:rPr>
        <w:t>E. 3</w:t>
      </w:r>
    </w:p>
    <w:p>
      <w:r>
        <w:t>Dans un autre grief d'ordre formel, la recourante soutient qu'un bilan thermique aurait dû être effectué vu l'impact des ouvertures projetées sur l'isolation du bâtiment, grief qui n'aurait pas été examiné dans le cadre de la décision querellée. a) L'art. 69 al. 1 du règlement d'application du 19 septembre 1986 de la loi du 4 décembre 1985 sur l'aménagement du territoire et les constructions (RLATC; BLV 700.11.1) indique quels sont les documents devant être fournis avec la demande de permis de construire, soit notamment les documents et pièces démontrant que la construction est conforme aux dispositions applicables à l'utilisation rationnelle et aux économies d'énergies, ainsi qu'aux énergies renouvelables dans les constructions (ch. 7). b) L'art. 15 al. 2 de la loi du 16 mai 2006 sur l'énergie (LVLEne; BLV 730.01) prévoit que lors de travaux réalisés sur leur territoire et relevant de leurs compétences, en particulier selon l'art. 4 al.</w:t>
      </w:r>
    </w:p>
    <w:p>
      <w:r>
        <w:rPr>
          <w:b/>
        </w:rPr>
        <w:t>E. 4</w:t>
      </w:r>
    </w:p>
    <w:p>
      <w:r>
        <w:t>Le présent article est également applicable aux cas de transformation ou de changement de destination d’une construction ayant pour effet d’accroître les besoins en stationnement." c) La norme VSS 40 281 (anciennement 640 281) prévoit à son chapitre 9 régissant l'offre en cases de stationnement pour les affectations au logement, que cette offre correspondra aux valeurs indicatives suivantes pour le cas normal: pour les habitants, 1 case par 100 m 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(à ce sujet notamment arrêts CDAP AC.2019.0358 du 17 mars 2021 consid. 6 a/aa; AC.2019.0020 du 16 mars 2020 consid. 4a/aa; AC.2017.0440, AC.2017.0444, AC.2017.0446 du 7 janvier 2019 consid. 8a; AC.2017.0060 du 23 mai 2018 consid. 10a; AC.2013.0281 du 12 février 2014 consid. 5a/aa; et les arrêts cités). d)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(arrêts CDAP AC.2021.0374 du 21 novembre 2022 consid. 2a/bb; AC.2019.0080 du 22 novembre 2019 consid. 3d; AC.2018.0260 du 6 mai 2019 consid. 4a/cc; AC.2017.0214 du 19 juin 2018 consid. 3b; AC.2017.0090 du 21 décembre 2017 consid. 1b; AC.2009.0039 du 24 août 2009, confirmé par TF 1C_642/2012 du 12 août 2013 consid. 4). En d'autres termes, le fait qu’un local susceptible de servir à l’habitation ou au travail sédentaire (chambre d’amis, bureau, local audio-vidéo, etc.) ne soit pas conforme aux règles de salubrité au sens des art. 27 ss RLATC ne le rend pas pour autant inhabitable (arrêts CDAP AC.2021.0374 du 21 novembre 2022; AC.2019.0307 du 14 février 2020 consid. 2c; AC.2019.0080 précité consid. 3d; AC.2007.0240 du 31 décembre 2008 consid. 9, cité in: RDAF 2009 I 1, n° 39). Dans le cadre de cet examen, il convient dans un premier temps de déterminer si les conditions d'éclairage et d'accessibilité permettent objectivement une utilisation à des fins d'habitation (arrêts CDAP AC.2020.0266 du 14 septembre 2021 consid. 6c/bb; AC.2015.0336 précité consid 4c/bb).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Le tribunal de céans a déjà eu l'occasion de juger qu'un réduit comportant deux armoires, apparaissant comme un dressing-room, est une surface habitable (arrêts CDAP AC.2020.0266 du 14 septembre 2021 consid. 6c/bb; AC.2005.0199 du 3 novembre 2006 consid. 6b; voir également arrêt AC.2015.0087 du 9 février 2016 consid. 3b). e) aa) La recourante invoque tout d'abord une violation de l'art. 24 RLATC sans toutefois exposer de quelle manière cette disposition ne serait pas respectée. On relèvera, que la situation de l'accès depuis la route aux parcelles litigieuses n'est pas modifiée et qu'il n'apparaît dès lors pas que cette disposition soit applicable en l'espèce. Ce grief doit donc être rejeté, pour autant que recevable au vu de l'absence de motivation. Même si l'on devait admettre que les développements de la recourante en lien avec la place de rebroussement résultant du remblai de l'accès à l'actuel garage concernent en fait l'accès à la parcelle et la sécurité de celui-ci, l'appréciation ci-dessus ne serait pas modifiée. En effet, élargir la zone de manœuvre à l'intérieur des parcelles litigieuses ne peut que contribuer à la sécurisation de l'accès. Au surplus, encore une fois, le grief formulé est peu clair et l'on ne distingue pas ce que la recourant entend en tirer. bb) L'argumentaire de la recourante repose ensuite sur le fait que le nombre de places de parc serait insuffisant, une fois les travaux litigieux effectués. A son sens, la surface habitable augmentera dans la mesure où les ouvertures prévues auront pour conséquence de permettre l'aménagement des combles. Ainsi, en application des normes VSS, le nombre de stationnement devrait être plus élevé et la suppression de deux places intérieures ne respecterait pas l'art. 116 RPGA. Il ressort des plans produits que le remblaiement prévu supprimera l'accès au garage souterrain et que les places de stationnement intérieures seront supprimées. Cela étant, quatre places seront maintenues, soit deux pour chaque logement, ce que la recourante ne paraît pas contester. Il convient donc de déterminer si le nombre de places restantes est conforme aux dispositions du règlement communal et à la norme VSS 40 281. Il est exact que le projet prévoit la création de six velux afin d'éclairer les galetas. Toutefois, cela ne les rendra pas habitables au sens de la jurisprudence citée plus haut. En effet, ces galetas ne sont accessibles que par une trappe. Cela étant, la question de l'habitabilité des combles peut rester indécise en l'état. Chacune des villas mitoyennes contient un logement de 150 m 2 , et bénéficiera de deux places de parcs après travaux. Or, en application de la norme VSS 40 281, le nombre de stationnement par logement exigé par le règlement communal est donc de 1,65 (1,5 pour les habitants et 0,15 pour les visiteurs), si bien que le projet est conforme. Il n'en irait d'ailleurs pas différemment si l'on devait intégrer au logement la surface des galetas (actuellement manifestement inhabitables). En effet, leur surface étant, selon les plans, de 39 m 2 (6m x 6,5 m), le total de places par logement serait de 2,079, soit 1,89 pour les habitants (189 m 2 de total de surface habitable) et 0,189 pour les visiteurs (correspondant à 10% de celles nécessaires aux habitants). Ainsi, même dans cette hypothèse l'appréciation faite par l'autorité intimée ne saurait être qualifiée d'arbitraire, en rappelant que celle-ci dispose d'une autonomie particulière lorsqu'elle interprète les dispositions de son règlement (cf. par exemple arrêt CDAP AC.2020.0266 du 14 septembre 2021 consid. 4d). cc) Ensuite, la recourante fait valoir que la décision querellée est insuffisamment motivée quant à la justification du nombre de places de parc autorisées. Certes, l'autorité intimée s'est contentée de préciser que le projet correspondait aux normes VSS. Toutefois, cette simple explication est suffisante pour comprendre son raisonnement, qui a d'ailleurs permis à la recourante de le contester utilement. La motivation est donc suffisante (cf. consid. 3d ci-dessus).</w:t>
      </w:r>
    </w:p>
    <w:p>
      <w:r>
        <w:rPr>
          <w:b/>
        </w:rPr>
        <w:t>E. 5</w:t>
      </w:r>
    </w:p>
    <w:p>
      <w:r>
        <w:t>La recourante se plaint enfin que le projet de couvert à vélos ne respecterait pas la distance à la limite de propriété et d'une violation des règles sur l'ordre non contigu. a) aa) L'art. 79 RPGA, relatif à la zone d'habitation de faible densité, prévoit que l'ordre non contigu est obligatoire. La municipalité peut toutefois autoriser des constructions contiguës pour autant qu'elles soient réalisées simultanément. La jurisprudence a défini les critères servant à distinguer la présence d'un seul bâtiment de celle de plusieurs bâtiments juxtaposés, jumelés ou mitoyens (cf. arrêts CDAP AC.2018.0260 du 6 mai 2019 consid. 5a/cc; AC.2017.0302 du 8 juin 2018 consid. 3b; AC.2016.0214 du 16 février 2018 consid. 4b). Il a par exemple été jugé que deux unités d'habitations, reliées entre elles par les garages ou un couvert à voiture – c'est-à-dire des dépendances de peu d'importance –, ne constituent généralement pas une construction unique, en particulier lorsque le projet de construction laisse apparaître une sorte de "trouée" due au fait que les garages ont une hauteur au faîte nettement inférieure à celle des deux villas adjacentes. Dans ces circonstances, la symétrie des deux entités d'habitation ne suffit pas à donner l'impression qu'elles forment un tout homogène (cf. arrêts CDAP AC.2020.0146 du 10 novembre 2020 consid. 3a/ee; AC.2018.0260 précité consid. 5a/cc; AC.2015.0230 du 23 août 2016 consid. 6c; AC.2009.0222 du 4 janvier 2010 consid. 3a). bb) Selon l'art. 82 RPGA, la distance aux limites de propriété est de 6 mètres. Cette distance ne tient pas compte des dépendances (voir art. 15 al. 1 in fine RPGA). cc)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L'art. 27 RPGA prévoit ce qui suit : " 1 Les dépendances de peu d’importance au sens de l’article 39 alinéa 2 RLATC sont autorisées. 2 Leur expression architecturale doit s’harmoniser avec celle du bâtiment principal. 3 Leur hauteur est limitée à 3 mètres à la corniche, à l’acrotère ou selon toute disposition constructive qui en tient lieu. 4 Les dépendances n’entrent pas en considération dans le calcul de l’IUS." b) aa) En l'espèce, il n'y a pas de doute que l'abri à vélos prévu par le projet litigieux répond aux conditions d'une dépendance de peu d'importance au sens des art. 27 RPGA et 39 RLATC. Il s'agit en effet d'une construction modeste, d'une surface de 5,64 m 2 environ (3,46 m x 1,63 m) et non habitable, dont la hauteur maximale sera de 2,80 m. Il est donc possible de l'édifier dans les espaces réglementaires, conformément à l'art. 15 al. 1 RPGA, et la distance à la limite de propriété ne saurait lui être appliquée. bb) L'abri à vélos projeté est accolé au garage existant sur la parcelle n° 2109. La recourante entend en déduire que le principe fixé à l'art. 79 RPGA, soit que l'ordre non contigu est obligatoire, serait violé. L'autorité intimée, ainsi que le constructeur, considèrent quant à eux que cette disposition n'est pas applicable aux dépendances de peu d'importance telles que l'abri litigieux. Cette appréciation n'est pas critiquable. La jurisprudence a d'ailleurs admis que le lien de deux habitations par des dépendances n'en fait pas une construction unique, susceptible d'être contraire à l'ordre non contigu. Le but de ce principe est d'ailleurs d'éviter un ensemble de constructions massif dans une zone dont la densité de construction est limitée, et non d'empêcher l'existence de deux petites structures l'une à côté de l'autre. Il est ainsi manifeste que l'ordre non contigu ne s'applique pas à deux dépendances de peu d'importance.</w:t>
      </w:r>
    </w:p>
    <w:p>
      <w:r>
        <w:rPr>
          <w:b/>
        </w:rPr>
        <w:t>E. 6</w:t>
      </w:r>
    </w:p>
    <w:p>
      <w:r>
        <w:t>Il résulte des considérants qui précèdent que le recours doit être rejeté. Les frais seront mis à la charge de la recourante, qui succombe (art. 49 al. 1 LPA-VD; art. 4 du tarif du 28 avril 2015 des frais judiciaires et des dépens en matière administrative [TFJDA; BLV 173.36.5.1]). L'autorité intimée, qui est intervenue à l'aide d'un mandataire professionnel, a droit à des dépens à charge de la recourante (art. 55 LPA-VD, 10 et 11 TJFDA).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