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AC.2022.0161 vom 15. Juni 2023</w:t>
      </w:r>
    </w:p>
    <w:p>
      <w:r>
        <w:t>VD Tribunal cantonal, 2023-06-15, FR</w:t>
      </w:r>
    </w:p>
    <w:p>
      <w:r>
        <w:rPr>
          <w:b/>
        </w:rPr>
        <w:t xml:space="preserve">Quelle: </w:t>
      </w:r>
      <w:r>
        <w:t>https://mcp.opencaselaw.ch/entscheid/vd_omni_AC.2022.0161</w:t>
      </w:r>
    </w:p>
    <w:p>
      <w:r>
        <w:t>FR: VD_OMNI AC.2022.0161 du 15 juin 2023</w:t>
      </w:r>
    </w:p>
    <w:p>
      <w:r>
        <w:t>IT: VD_OMNI AC.2022.0161 del 15 giugno 2023</w:t>
      </w:r>
    </w:p>
    <w:p>
      <w:pPr>
        <w:pStyle w:val="Heading2"/>
      </w:pPr>
      <w:r>
        <w:t>Regeste</w:t>
      </w:r>
    </w:p>
    <w:p>
      <w:r>
        <w:t>A.________/Municipalité de Rougemont | Propriétaire ayant créé sans autorisation 4 fenêtres en façade Sud du local souterrain de son chalet. Recours de celle-ci contre le refus de la municipalité de régulariser ces travaux, rejeté par arrêt AC.2020.0355. Décision municipale subséquente ordonnant à titre de mesures de remise en état la prolongation de TerraMurs devant ces ouvertures et la pose derrière ceux-ci de sauts-de-loup. Constat qu'une mesure consistant à remplacer les 4 ouvertures par des fenêtres de 0.5 m x 0.96 m, en respectant un contrecoeur de 1.60 m, permet de répondre aux objectifs poursuivis par la remise en état (soit garantir l'inhabitabilité du sous-sol et maintenir l'unité architecturale du chalet et du secteur) tout en étant plus conforme au principe de proportionnalité (consid. 3c/bb). La mesure complémentaire tendant à planter de la végétation devant la façade Sud du local souterrain permettra d'attenuer davantage la perception des fenêtres (consid. 3d). Recours partiellement admis.</w:t>
      </w:r>
    </w:p>
    <w:p>
      <w:pPr>
        <w:pStyle w:val="Heading2"/>
      </w:pPr>
      <w:r>
        <w:t>Erwägungen</w:t>
      </w:r>
    </w:p>
    <w:p>
      <w:r>
        <w:rPr>
          <w:b/>
        </w:rPr>
        <w:t>E. 1</w:t>
      </w:r>
    </w:p>
    <w:p>
      <w:r>
        <w:t>La recourante requiert la tenue d'une inspection locale ayant pour objectifs d'apprécier la configuration des lieux, en particulier les fenêtres litigieuses, de mesurer l'ampleur des travaux exigés par l'autorité intimée, ainsi que de permettre à l'autorité intimée de fournir toutes les indications techniques quant à ces travaux (faisabilité, coûts, durée). a) Le droit d'être entendu tel qu'il est garanti par les art. 29 al. 2 de la Constitution fédérale de la Confédération suisse du 18 avril 1999 (Cst.; RS 101) et 27 al. 2 de la Constitution du Canton de Vaud du 14 avril 2003 (Cst-VD; BLV 101.01) comprend notamment le droit pour le justiciable d'offrir des preuves pertinentes, d'obtenir qu'il y soit donné suite et de participer à l'administration des preuves essentielles ou à tout le moins de s'exprimer sur son résultat, lorsque cela est de nature à influer sur la décision à rendre (ATF 145 I 167 consid. 4.1 p. 170; 140 I 285 consid. 6.3.1 p. 299; CDAP AC.2018.0277 du 14 février 2020 consid. 2a). En particulier, le droit de faire administrer les preuves suppose notamment que le fait à prouver soit pertinent et que le moyen de preuve proposé soit apte et nécessaire à prouver ce fait. Il ne comprend toutefois pas le droit d’être entendu oralement, ni celui d’obtenir l’audition de témoins (ATF 130 II 425 consid. 2.1 p. 428). En outre, l’autorité peut mettre un terme à l’instruction lorsque les preuves administrées lui ont permis de forger sa conviction et que, procédant d’une manière non arbitraire à une appréciation anticipée des preuves qui lui sont encore proposées, elle a acquis la certitude qu’elles ne pourraient l’amener à modifier son opinion (ATF 144 II 427 consid. 3.1.3; 140 I 285 consid. 6.2.1 p. 299; TF 2C_954/2018 du 3 décembre 2018 consid. 5; CDAP AC.2019.0188 du 24 février 2020 consid. 1). b) En l'espèce, la vision locale à laquelle le tribunal de céans a procédé le 23 août 2021 sur la parcelle litigieuse dans le cadre de l'affaire AC.2020.0355, dans une composition identique à celle de la présente procédure, lui a permis de se faire une idée complète et précise de la configuration des lieux, s'agissant notamment de l'aspect et de l'impact visuel des fenêtres réalisées au sous-sol sans autorisation. A cela s'ajoute que le dossier de la cause est suffisamment complet pour permettre au tribunal de statuer en toute connaissance de cause et que les parties ont de surcroît eu l'occasion de faire valoir leurs arguments lors d'un double échange d'écritures, en particulier sur la question de la faisabilité et des coûts des travaux de remise en état exigés. Ces circonstances, ainsi que l'absence de changement intervenu dans la situation de fait à examiner (l'inverse n'est en tous les cas pas allégué par la recourante) rendent superflue la tenue d'une nouvelle inspection locale. Le refus de donner de suite à cette requête, signifié par avis du 30 janvier 2023, peut ainsi être confirmé sans qu'il en résulte pour la recourante une violation de son droit d'être entendue.</w:t>
      </w:r>
    </w:p>
    <w:p>
      <w:r>
        <w:rPr>
          <w:b/>
        </w:rPr>
        <w:t>E. 2</w:t>
      </w:r>
    </w:p>
    <w:p>
      <w:r>
        <w:t>Le refus de régulariser les fenêtres réalisées sans autorisation au sous-sol du chalet de la recourante a été confirmé par la CDAP dans l'arrêt AC.2020.0355, qui est entré en force sans avoir été contesté et qui ne peut partant plus être remis en cause dans le cadre de la présente procédure. L'objet du litige se limite par conséquent à l'ordre de remise en état signifié dans la décision attaquée du 8 (recte: 18) avril 2022. Dans ce contexte, la recourante ne saurait se prévaloir une nouvelle fois d'arguments déjà examinés et rejetés dans le cadre de l'arrêt AC.2020.0355 précité, à savoir le fait que les fenêtres contestées seraient invisibles depuis le domaine public, qu'elles ne donneraient pas de vues sur l'intérieur des chalets voisins, qu'elles n'ont pas d'incidence paysagère ou encore que leur impact serait négligeable par rapport à d'autres constructions admises par l'autorité intimée.</w:t>
      </w:r>
    </w:p>
    <w:p>
      <w:r>
        <w:rPr>
          <w:b/>
        </w:rPr>
        <w:t>E. 3</w:t>
      </w:r>
    </w:p>
    <w:p>
      <w:r>
        <w:t>a) Selon l'art. 105 al. 1 de la loi du 4 décembre 1985 sur l'aménagement du territoire et les constructions (LATC; BLV 700.11), la municipalité est en droit de faire suspendre et, le cas échéant, supprimer ou modifier, aux frais du propriétaire, tous travaux qui ne sont pas conformes aux prescriptions légales et règlementaires. La municipalité n'a pas un pouvoir discrétionnaire d'ordonner ou non la remise en état: quand les conditions de l'art. 105 LATC sont remplies, elle a l'obligation de le faire (CDAP AC.2021.0306 du 1 er novembre 2022 consid. 3a/bb; AC.2021.0138 du 28 octobre 2022 consid. 10a). Lorsqu'une construction déjà réalisée contrevient aux règles légales et ne peut par conséquent être autorisée a posteriori, cela ne signifie pas encore qu'elle ne peut être utilisée, ni que l'état antérieur doit nécessairement être rétabli. Il convient à ce stade d'examiner la situation au regard des principes généraux du droit administratif, en particulier les principes de la proportionnalité et de la protection de la bonne foi. Le principe de la proportionnalité exige qu'une mesure restrictive soit apte à produire les résultats escomptés (règle de l'aptitude) et que ceux-ci ne puissent être atteints par des mesures moins incisives (règle de la nécessité); en outre, il interdit toute limitation allant au-delà du but visé et exige un rapport raisonnable entre ce but et les intérêts publics ou privés compromis (principe de la proportionnalité au sens étroit (ATF 142 I 76 consid. 3.5.1 ; 140 I 68 consid. 4.2.1). D’après la jurisprudence, l'ordre de démolir une construction ou un ouvrage édifié sans permis et pour lequel une autorisation ne pouvait être accordée n'est en principe pas contraire au principe de la proportionnalité. Celui qui place l'autorité devant un fait accompli doit s'attendre à ce qu'elle se préoccupe davantage de rétablir une situation conforme au droit que d'éviter les inconvénients qui en découlent pour lui (cf. ATF 123 II 248 consid. 4a; 111 Ib 213 consid. 6). Les mesures de remise en état doivent toutefois être strictement limitées à ce qui est nécessaire pour atteindre le but recherché. L'autorité doit en effet renoncer à de telles mesures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(cf. ATF 136 II 359 consid. 7.1; 123 II 248 consid. 4b). consid. 6; TF 1C_6/2021 du 17 août 2021 consid. 3.1). Même un constructeur qui n'est pas de bonne foi peut invoquer le principe de proportionnalité. Dans le cadre d’un ordre de remise en état, le Tribunal fédéral a encore précisé que l’autorité de recours doit rechercher d’office quelles mesures sont, d’une part, nécessaires et propres à atteindre l’objectif absolument indispensable et, d’autre part, celles qui ne sont pas trop incisives (cf. ATF 107 Ia 19 consid. 3b). Le concours de l’administré est requis, afin qu’il présente lui-même des propositions au sujet des mesures à ordonner. Toutefois, si les propositions émises sont inadéquates ou si l’administré n’en a pas fourni, l’autorité de recours est tenue de choisir, parmi les différentes mesures possibles, celles qui sont conformes au principe de la proportionnalité, respectivement de rechercher, en procédure de recours, si une mesure moins incisive n’aurait pas aussi permis d’atteindre l’objectif visé (cf. ATF 123 II 248; 111 Ib 213). Le tribunal est ainsi amené à rechercher quelle mesure serait, en l’espèce, la moins incisive afin de rétablir une situation réglementaire, à savoir celle qui prévalait avant la construction de l’ouvrage litigieux (CDAP AC.2021.0138 précité consid. 10a; AC.2021.0180 précité consid. 7a/bb). b) En l'occurrence, l'ordre de remise en état contenu dans la décision attaquée, s'il ne commande pas le démontage des fenêtres litigieuses, exige cependant de la recourante qu'elle procède, devant ces dernières, à la prolongation des TerraMurs et qu'elle installe derrière ceux-ci des sauts-de-loup qui ne devront pas être visibles depuis le Sud de la parcelle. L'autorité intimée explique que cette remise en état "a pour double objectif d'assurer le caractère inhabitable du sous-sol tout en trouvant la meilleure solution pour faire disparaître les fenêtres litigieuses afin de maintenir l'unité architecturale en place dans la zone «Les Chavalets»" (cf. réponse au recours). La recourante tient ces mesures pour disproportionnées. Elle allègue que la modification de l'aspect extérieur du chalet induite par les fenêtres litigieuses ne saurait fonder un intérêt public prépondérant qui imposerait une remise en état du sous-sol et, a fortiori, la création de sauts-de-loup. A titre subsidiaire, elle soumet une proposition tendant à planter des thuyas devant les fenêtres, solution dont elle indique qu'elle garantirait l’inhabitabilité des locaux du sous-sol en les obscurcissant fortement, tout en conservant l’esthétique du chalet. Elle évoque également une solution alternative ou complémentaire à ces plantations qui consisterait à réduire la surface des fenêtres du fitness et de la salle de jeu. Se référant par ailleurs à un rapport d'expertise du 26 octobre 2021 établi à sa demande par un architecte EPFL-SIA, elle prétend que le terrain en forte pente au Sud constituerait un obstacle technique à la prolongation du TerraMur. Elle invoque enfin des motifs d'ordre économique, en relevant que les importants travaux exigés par l'autorité intimée avoisineraient un coût d'environ 50'000 fr. selon un devis qu'elle a fait établir, alors qu'une diminution de la surface vitrée du fitness et de la salle de jeu n'impliquerait que des travaux de faible envergure pour un coût de l'ordre de 3'000 à 4'000 fr. L’autorité intimée relève pour sa part que le seul intérêt privé dont se prévaut la recourante, à savoir l'apport de lumière naturelle au sous-sol, est de pur confort et qu'il existe plusieurs intérêts publics prépondérants qui justifient l'ordre de remise en état litigieux, soit les intérêts au respect des normes et à la sauvegarde du patrimoine architectural et du paysage de Rougemont. Elle fait valoir qu'avec une réduction de la taille des fenêtres, le sous-sol demeurerait habitable et l’aspect extérieur resterait en décalage avec le style des chalets de la région. Elle ajoute que la plantation de thuyas n'aurait pas plus d'effets, en relevant d'une part qu'il est aisé de tailler une haie de telle sorte qu'elle n'obscurcisse pas suffisamment le sous-sol, d'autre part que l'aspect d'une telle plantation devant le chalet serait inesthétique. Elle conteste en outre tout problème technique, en exposant que l'expertise sur laquelle s'appuie la recourante ne porte que sur un type particulier de sauts-de-loup que la municipalité n'envisage pas d'imposer. Elle souligne qu'il ressort de surcroît de cette expertise qu'il serait possible de poser des sauts-de-loup d'une autre manière, en détruisant la dalle sous les fenêtres. Elle considère enfin que le coût de la remise en état n’apparaît pas disproportionné, en indiquant que l’intérêt pécuniaire de la recourante ne suffit pas à lui seul pour contrebalancer l'intérêt public à la remise en état, étant précisé qu'elle a été placée devant le fait accompli. c) aa) La recourante a elle-même indiqué que les changements apportés par rapport aux plans d'enquête sans autorisation durant les travaux avaient pour objectif d'améliorer significativement la commodité du chalet. Son architecte a pour sa part expliqué ne pas avoir préalablement requis une demande de permis de construire complémentaire pour ces modifications au motif que cela aurait retardé le chantier et contraint la recourante à prévoir des vacances en un autre endroit (cf. courrier du 21 octobre 2019). Il s'agit là de motifs de convenance personnelle qui ne permettent pas de retenir la bonne foi de la recourante ou de son architecte. Il n'y a ainsi aucun motif de déroger au principe selon lequel la recourante, qui a mis l'autorité intimée devant le fait accompli en réalisant les travaux litigieux sans autorisation, devait s'attendre à ce que celle-ci se préoccupe davantage de rétablir une situation conforme au droit que de lui éviter des inconvénients. Les dérogations à la règle n'apparaissent de surcroît pas mineures puisqu'elles concernent tant des prescriptions relatives à l'habitabilité qu'en matière d'esthétique et d'intégration des constructions. Or, outre l'intérêt public au respect des normes légales et réglementaires qui est déjà en soi important, la jurisprudence retient que les dispositions communales relatives à l'esthétique des constructions répondent à un intérêt public important concrétisé par l'art. 3 al. 2 let. b de la loi fédérale sur l'aménagement du territoire du 22 juin 1979 (LAT; RS 700) tendant à ce que les constructions prises isolément ou dans leur ensemble ainsi que les installations s'intègrent dans le paysage (cf. CDAP AC.2018.0405 du 25 octobre 2019 consid. 2c; AC.2013.0471 du 14 août 2014 consid. 3b). Ainsi, contrairement à ce que soutient la recourante, plusieurs intérêts publics prépondérants sont ici en jeu, qui l'emportent sur ses intérêts privés et justifient de confirmer, sur le principe, l'ordre de remise en état. La conclusion principale formulée dans le recours tendant à ce qu'il y soit renoncé doit partant être rejetée. bb) Il ressort des motifs exposés ci-dessus que les quatre fenêtres réalisées sans droit en façade Sud du local souterrain du chalet ne peuvent pas être maintenues dans leur configuration actuelle. Cela étant, conformément à la jurisprudence et sous l'angle du principe de la proportionnalité, il s'impose d'examiner si une autre solution moins incisive que celle préconisée par l'autorité intimée pourrait être envisagée tout en permettant d'atteindre les buts recherchés, soit garantir l'inhabitabilité du sous-sol ainsi que maintenir l'unité architecturale du chalet lui-même et du secteur. La remise en état telle qu'ordonnée par l'autorité intimée consiste à cet égard, d'une part, à prolonger les TerraMurs existants à l'Est et à l'Ouest de telle manière à former une "pente unie" sur toute la face Sud de la parcelle, d'autre part à installer derrière ce Terramur ainsi rallongé des sauts-de-loup qui ne devront pas être visibles depuis le Sud de la parcelle. Or, se fondant sur les avis de ses assesseures spécialisées (architectes), le tribunal constate que ces mesures impliqueraient des travaux très lourds, dont la mise en œuvre apparaît au surplus compliquée aux plans technique et statique. Il serait en particulier nécessaire d'ancrer les sauts-de-loup dans le terrain, dispositif qui commanderait préalablement de démolir les couvertes des fenêtres litigieuses. De tels travaux, vu leur ampleur et leur complexité, occasionneraient des coûts élevés. La recourante produit ainsi un devis du 22 mai 2022 les évaluant à près de 50'000 fr. au total. A cela s'ajoute que du point de vue de l'esthétique et de l'intégration, on peut douter du fait que le rendu final des mesures exigées par l'autorité intimée soit plus satisfaisant que la situation existante. A titre d'alternative, la recourante propose de réduire – sans indiquer dans quelle mesure – les dimensions de deux fenêtres, soit celle du local fitness et celle de la salle de jeux. Une diminution des vitrages constitue certes une mesure impliquant des travaux moins conséquents, plus simples à mettre en œuvre et conséquemment moins onéreux. Encore faut-il qu'une telle solution, pour être envisagée, réponde aux deux objectifs poursuivis par la remise en état, à savoir garantir l'inhabitabilité du sous-sol ainsi que maintenir l'unité architecturale du chalet et du secteur. En tenant compte des intérêts publics en jeu, le tribunal parvient à la conclusion qu'une solution satisfaisante et proportionnée consiste pour chacune des quatre fenêtres litigieuses – et non uniquement pour les deux proposées par la recourante – à réhausser le contrecœur à une hauteur de 1.60 m, puis à poser une nouvelle fenêtre d'une hauteur réduite à 0.50 m, la largeur pouvant quant à elle être maintenue à 0.96 m. La nouvelle configuration des quatre fenêtres (0.50 m de hauteur par 0.96 m de largeur) aura pour effet que toutes les pièces du sous-sol ne seront plus suffisamment éclairées pour être utilisées à des fins d'habitation (cf. art 28 al. 1 RLATC), ce qui permettra de rétablir le caractère inhabitable du local souterrain au sens de l'art. 59 RCPEPC. L'emplacement en hauteur des fenêtres empêchera en outre toute vue horizontale directe. Pour ce qui est des objectifs visés, cette solution permet en définitive d'aboutir au même résultat que celui qui serait obtenu avec la pose de sauts-de-loup et une prolongation des TerraMurs, ceci à un coût sensiblement moins élevé que les 50'000 fr. devisés pour de tels travaux. Elle n'implique en effet pour l'essentiel que des travaux de maçonnerie, consistant à déposer les quatre fenêtres litigieuses, à boucher l'espace correspondant avec un matériau approprié, à poser les nouvelles fenêtres et à uniformiser ensuite la façade au niveau du revêtement et de la teinte. Cette solution présente l'avantage de ne pas porter atteinte à la statique du bâtiment dès lors qu'elle ne nécessite pas la démolition de la dalle construite au-dessus des fenêtres, contrairement à ce qui serait le cas avec la réalisation de sauts-de-loup. Elle apparaît par ailleurs mieux à même d'atteindre les buts poursuivis par la remise en état au plan de l'esthétique et de l'intégration. En premier lieu, l'impact visuel de la nouvelle façade Sud du local souterrain, compte tenu des quatre discrètes petites fenêtres de dimensions identiques dont elle sera pourvue, sera bien plus limité que celui qui résulterait de la présence d'un TerraMur continu qui viendrait s'appuyer contre cette façade. La nouvelle configuration de la façade Sud du sous-sol, avec ses ouvertures redimensionnées, permettra en outre de répondre au souci de l'autorité intimée de rétablir visuellement l'aspect d'un chalet de trois étages reposant sur un socle, le rendu n'étant en tous les cas pas moins esthétique que ce qui serait le cas avec un mur de soutènement. Tout bien considéré, le tribunal constate que cette solution s'impose en lieu et place de la remise en état préconisée dès lors qu'elle s'avère plus conforme au principe de la proportionnalité, notamment sous l'angle de la nécessité et de la proportionnalité au sens étroit. d) Quant à la plantation de végétation devant toute la façade Sud du local souterrain comme le propose aussi la recourante, il s'agit d'une mesure complémentaire propre à atténuer encore davantage la perception des fenêtres du sous-sol. Faisant office de brise-vue naturel, cette végétation pourra en effet contribuer à "faire disparaître" visuellement ces ouvertures, comme y aspire l'autorité intimée. Il conviendra cependant de privilégier en lieu et place d'une haie de thuyas évoquée par la recourante – essence qui ne présente aucun intérêt biologique – une végétation plus adaptée du type de celle figurant sur le premier photomontage produit par la recourante en annexe à son courrier du 25 septembre 2019 adressé à l'autorité intimée, composée notamment de plantes grimpantes qui pourront à terme recouvrir en partie la façade Sud du local souterrain.</w:t>
      </w:r>
    </w:p>
    <w:p>
      <w:r>
        <w:rPr>
          <w:b/>
        </w:rPr>
        <w:t>E. 4</w:t>
      </w:r>
    </w:p>
    <w:p>
      <w:r>
        <w:t>Les considérants qui précèdent conduisent à l'admission partielle du recours et à la réforme du chiffre 2 du dispositif de la décision attaquée en ce sens qu'ordre est donné à la recourante, d'une part, de remplacer chacune des quatre fenêtres réalisées sans autorisation en façade Sud du local souterrain du chalet par une fenêtre de 0.50 m de hauteur et de 0.96 m de largeur, en respectant un contrecœur de 1.60 m, d'autre part de planter de la végétation devant la façade Sud du local souterrain, conformément au consid. 3d ci-dessus. La décision attaquée est confirmée pour le surplus. Le délai d'exécution fixé dans la décision attaquée étant aujourd'hui échu, il appartiendra à l'autorité intimée d'impartir à la recourante un nouveau délai pour déposer un dossier d'enquête portant sur l'ensemble des modifications apportées sans autorisation au projet initial. Vu le sort du recours, les frais de la cause sont partagés entre la Commune de Rougemont et la recourante et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