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AC.2022.0134 vom 10. Juni 2022</w:t>
      </w:r>
    </w:p>
    <w:p>
      <w:r>
        <w:t>VD Tribunal cantonal, 2022-06-10, FR</w:t>
      </w:r>
    </w:p>
    <w:p>
      <w:r>
        <w:rPr>
          <w:b/>
        </w:rPr>
        <w:t xml:space="preserve">Quelle: </w:t>
      </w:r>
      <w:r>
        <w:t>https://mcp.opencaselaw.ch/entscheid/vd_omni_AC.2022.0134</w:t>
      </w:r>
    </w:p>
    <w:p>
      <w:r>
        <w:t>FR: VD_OMNI AC.2022.0134 du 10 juin 2022</w:t>
      </w:r>
    </w:p>
    <w:p>
      <w:r>
        <w:t>IT: VD_OMNI AC.2022.0134 del 10 giugno 2022</w:t>
      </w:r>
    </w:p>
    <w:p>
      <w:pPr>
        <w:pStyle w:val="Heading2"/>
      </w:pPr>
      <w:r>
        <w:t>Regeste</w:t>
      </w:r>
    </w:p>
    <w:p>
      <w:r>
        <w:t>A.________ /Municipalité d'Yverdon-les-Bains | Recours contre une décision de la municipalité ordonnant des mesures de mise en conformité, pour des aménagements extérieurs. Irrecevabilité du recours formé par l'architecte, auteur des plans, qui n'est pas propriétaire de la parcelle litigieuse.</w:t>
      </w:r>
    </w:p>
    <w:p>
      <w:pPr>
        <w:pStyle w:val="Heading2"/>
      </w:pPr>
      <w:r>
        <w:t>Erwägungen</w:t>
      </w:r>
    </w:p>
    <w:p>
      <w:r>
        <w:rPr>
          <w:b/>
        </w:rPr>
        <w:t>E. 1</w:t>
      </w:r>
    </w:p>
    <w:p>
      <w:r>
        <w:t>La voie du recours de droit administratif, au sens des art. 92 ss de la loi cantonale du 28 octobre 2008 sur la procédure administrative (LPA-VD; BLV 173.36), est ouverte contre la décision d'une municipalité qui refuse un permis de construire et ordonne la remise en état des lieux (cf. art. 105 et 115 de la loi cantonale du 4 décembre 1985 sur l'aménagement du territoire et les constructions [LATC; BLV 700.11]). La qualité pour recourir est définie à l'art. 75 LPA-VD (par renvoi de l'art. 99 LPA-VD): elle est reconnue à la personne qui est atteinte par la décision attaquée et qui dispose d'un intérêt digne de protection à ce qu'elle soit annulée ou modifiée (art. 75 let. a LPA-VD). A l'évidence, le propriétaire de l'immeuble concerné, à qui la municipalité refuse l'autorisation de créer (ou de maintenir) un ouvrage sur son terrain, a qualité pour recourir car il est directement atteint par la décision attaquée. En l'occurrence, la décision de la municipalité, qui refuse de régulariser deux cases de stationnement réalisées sans autorisation, ordonne aux "constructeurs" de les supprimer, en réalisant les aménagements extérieurs prévus à l'origine. Cet ordre n'est pas donné à l'architecte recourant. Ce dernier est le destinataire de la décision attaquée en sa qualité de mandataire (architecte auteur des plans). La décision a toutefois également été communiquée aux copropriétaires de la parcelle (propriétaires des lots de la PPE), qui ne l'ont eux-mêmes pas contestée. Il convient encore de relever qu'en évoquant dans sa décision l'exécution par substitution, la municipalité a mentionné l'obligation des propriétaires fonciers, et non pas de l'architecte, d'en supporter les frais. Le recourant a précisé qu'il agissait personnellement en sa qualité d'architecte, soucieux des intérêts des copropriétaires, lesquels sont d'après lui les seules personnes lésées. Ainsi, le recourant ne prétend pas être directement atteint, ou lésé, par la décision attaquée. Il ne se prévaut pas non plus d'un statut de représentant de ces copropriétaires pour la procédure devant le Tribunal cantonal. Or un intérêt digne de protection n'existe que lorsque la situation de fait ou de droit du recourant peut être influencée par l'admission du recours, qui doit lui procurer un avantage; l'intérêt doit être direct et concret (voir un résumé de la jurisprudence à ce propos in: Benoît Bovay et al., Procédure administrative vaudoise, 2 e éd. 2021, p. 604 ss). Généralement, l'architecte qui agit comme mandataire technique du constructeur (auteur des plans, surveillant des travaux) n'a pas personnellement qualité pour recourir contre l'octroi ou le refus du permis de construire, pour le projet qu'il a élaboré, car il ne peut pas se prévaloir d'un intérêt direct, digne de protection à l'annulation de cette décision (cf. arrêts CDAP AC.2019.0108 du 1 er mai 2018, AC.2011.0161 du 28 novembre 2011; Bovay et al., op. cit., p. 644). Il n'y a aucun motif, sur la base des explications données par le recourant après qu'il a été interpellé par le juge instructeur, d'appliquer différemment l'art. 75 let. a LPA-VD dans le cas particulier. Le recours doit donc être déclaré irrecevable, en l'absence de qualité pour recourir.</w:t>
      </w:r>
    </w:p>
    <w:p>
      <w:r>
        <w:rPr>
          <w:b/>
        </w:rPr>
        <w:t>E. 2</w:t>
      </w:r>
    </w:p>
    <w:p>
      <w:r>
        <w:t>L'irrecevabilité devant être prononcée d'emblée, il y a lieu d'appliquer la procédure simplifiée de l'art. 82 LPA-VD, sans échange d'écritures ni autre mesure d'instruction. Le recourant, qui succombe, doit supporter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