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AC.2022.0096 vom 28. März 2022</w:t>
      </w:r>
    </w:p>
    <w:p>
      <w:r>
        <w:t>VD Tribunal cantonal, 2022-03-28, FR</w:t>
      </w:r>
    </w:p>
    <w:p>
      <w:r>
        <w:rPr>
          <w:b/>
        </w:rPr>
        <w:t xml:space="preserve">Quelle: </w:t>
      </w:r>
      <w:r>
        <w:t>https://mcp.opencaselaw.ch/entscheid/vd_omni_AC.2022.0096</w:t>
      </w:r>
    </w:p>
    <w:p>
      <w:r>
        <w:t>FR: VD_OMNI AC.2022.0096 du 28 mars 2022</w:t>
      </w:r>
    </w:p>
    <w:p>
      <w:r>
        <w:t>IT: VD_OMNI AC.2022.0096 del 28 marzo 2022</w:t>
      </w:r>
    </w:p>
    <w:p>
      <w:pPr>
        <w:pStyle w:val="Heading2"/>
      </w:pPr>
      <w:r>
        <w:t>Regeste</w:t>
      </w:r>
    </w:p>
    <w:p>
      <w:r>
        <w:t>A.________ /Municipalité de Moudon, Direction générale de l'environnement DGE-DIREV | Recours contre une décision municipale ordonnant l'exécution par substitution de la destruction de bus que collectionne la recourante. Les véhicules concernés sont stationnés sur des parcelles propriété de la recourante, mais à l'extérieur des halles prévues pour les abriter, leur nombre étant trop important pour tous les garer à l'intérieur. La recourante conteste en substance les compétences de l'entreprise tierce à laquelle la municipalité a confié l'exécution par substitution. Cette question a déjà fait l'objet d'un précédent arrêt de la CDAP (AC.2019.0326 non contesté) et ne saurait être examinée à nouveau. Un délai supplémentaire avait été imparti à la recourante pour se conformer aux décisions municipales. Tel n'a pas été le cas. La décision d'exécution par substitution est justifiée et respecte les étapes prévues par la loi. Recours rejeté dans la mesure de sa recevabilité.</w:t>
      </w:r>
    </w:p>
    <w:p>
      <w:pPr>
        <w:pStyle w:val="Heading2"/>
      </w:pPr>
      <w:r>
        <w:t>Erwägungen</w:t>
      </w:r>
    </w:p>
    <w:p>
      <w:r>
        <w:rPr>
          <w:b/>
        </w:rPr>
        <w:t>E. 1</w:t>
      </w:r>
    </w:p>
    <w:p>
      <w:r>
        <w:t>Interjeté dans le délai de trente jours dès la notification de la décision attaquée, le recours satisfait en outre aux autres conditions formelles de recevabilité (art. 75, 79, 92, 95 et 99 LPA-VD), de sorte qu'il y a lieu d'entrer en matière sur le fond.</w:t>
      </w:r>
    </w:p>
    <w:p>
      <w:r>
        <w:rPr>
          <w:b/>
        </w:rPr>
        <w:t>E. 2</w:t>
      </w:r>
    </w:p>
    <w:p>
      <w:r>
        <w:t>La recourante indique que son recours "porte sur la question de savoir si B.________ est à même de déplacer et démolir les bus en cause sur sa parcelle 470". Elle relève expressément que "la CDAP l'a admis dans son arrêt du 5 juillet 2021 sur la base d'une brève lettre du 12 mars 2020 de la Direction générale de l'environnement". A l'appui de son recours, la recourante produit un rapport, daté du 21 mars 2022, du bureau C.________ qu'elle a elle-même mandaté. a) Bien qu'indiquant contester la décision du 8 mars 2022, la recourante revient une nouvelle fois sur les précédentes décisions des 26 mars et 11 septembre 2019, qui ont déjà fait l'objet de l'arrêt rendu par la CDAP le 5 juillet 2021 (AC.2019.0326), lequel n'a pas donné lieu à un recours auprès du Tribunal fédéral et est donc entré en force. Or, l’autorité de la chose jugée (ou force de chose jugée au sens matériel) interdit de remettre en cause, dans une nouvelle procédure, entre les mêmes parties, une prétention identique qui a été définitivement jugée (ATF 142 III 210 consid. 2.1 p. 212 et les références). S'agissant de la décision du 26 mars 2019, la CDAP avait déjà dit qu'elle était entrée en force et que le recours du 14 octobre 2019 à son encontre était irrecevable. Les motifs invoqués à l'encontre des décisions du 11 septembre 2019 confirmées par arrêt du 5 juillet 2021 sont désormais irrecevables aussi. La recourante, depuis 2015 à tout le moins, stationne des véhicules sur les parcelles dont elle est propriétaire en dehors des halles qui sont prévues pour accueillir les bus qu'elle collectionne. La municipalité, dans le respect de la procédure prévue par la loi, a rendu des décisions successives pour inviter la recourante à régulariser la situation. A cet effet, l'autorité intimée a tout d'abord ordonné à la recourante de déplacer les bus qui ne pouvaient être stockés dans les halles; elle lui a ensuite en substance ordonné de détruire les bus qui ne pouvaient pas être déplacés; elle a enfin rendu une décision d'exécution par substitution en confiant le retrait des bus stationnés à l'extérieur des halles à une entreprise tierce, soit B.________. Ces décisions ont toutes été confirmées par l'arrêt du 5 juillet 2021, seul le délai imparti à la recourante pour détruire elle-même les bus encore ou nouveau garés à l'extérieur des bâtiments construits sur les parcelles n os 1375, 1395 et 1523 étant prolongé au 31 janvier 2022 (cf. ch. IV du dispositif de l'arrêt du 5 juillet 2021). Dans le corps de l'arrêt rendu dans la cause AC.2019.0346, la CDAP a relevé "qu'en cas de non-respect de cette date butoir pour la destruction des bus, une nouvelle décision d'exécution forcée au sens de l'art. 61 LPA-VD devra[it] être rendue par la municipalité si elle entend[ait] procéder elle-même à la destruction ou en confier l'exécution à un tiers." C'est précisément ce que prévoit la décision du 8 mars 2022. En effet, la recourante n'a jamais été en mesure de respecter les injonctions données et ne l'est toujours pas en ce début d'année 2022, malgré les longs délais successifs qui lui ont été accordés. Elle allègue avoir déplacé plusieurs dizaines de véhicules, mais admet qu'il en reste à l'extérieur des bâtiments sur chacune des parcelles concernées. Or, tant l'ordre d'évacuation, que l'ordre d'évacuation par substitution et l'ordre de destruction sont en force. A cet égard, le choix de l'entreprise B.________ a lui aussi été confirmé de manière définitive pour ce qui concerne l'évacuation; la recourante ne l'a pas contesté en temps utile et tente de revenir à la charge en produisant un rapport qu'elle a elle-même commandité et qui n'apporte aucun élément que la recourante n'aurait pas pu évoquer dans le cadre de la précédente procédure, étant souligné que les décisions définitives et exécutoires n'indiquent pas de quelle manière ni sur quelle parcelle l'entreprise tierce devrait évacuer les bus litigieux. Les moyens soulevés sont donc irrecevables en tant qu'ils concernent les décisions rendues par la municipalité les 26 mars et 11 septembre 2019. b) Quant à la décision du 8 mars 2022 qui désigne l'entreprise B.________ pour procéder à la destruction par substitution des bus encore ou à nouveau garés à l'extérieur des bâtiments construits sur les parcelles n os 1375, 1395 et 1523, elle correspond parfaitement aux considérants de l'arrêt de la CDAP du 5 juillet 2021 rappelé ci-dessus. Depuis la notification et le délai imparti au 31 janvier 2022, sept mois se sont écoulés, au cours desquels la recourante n'est pas parvenue à évacuer ou à détruire elle-même tous les véhicules stationnés à l'extérieur des halles prévues pour les accueillir. La recourante ne fait valoir aucun motif qui justifie le non-respect des longs délais donnés pour exécuter les décisions en force. Le recours à l'exécution forcée et, partant, à l'exécution par substitution est pleinement justifié. Le choix de l'entreprise B.________ pour exécuter les tâches que la recourante n'est manifestement pas en mesure d'accomplir elle-même est adéquat, cette entreprise étant équipée pour procéder à l'évacuation, respectivement à la destruction des bus, ainsi que cela avait été jugé dans l'arrêt du 5 juillet 2021. Le rapport privé que dépose la recourante à l'appui de son recours ne permet pas de remettre en cause l'appréciation effectuée par la CDAP, étant une nouvelle fois rappelé qu'aucune décision n'indique que l'entreprise B.________ devrait nécessairement évacuer les bus sur la parcelle n° 370 dont elle est propriétaire, ni procéder à leur destruction à cet endroit. Les modalités de l'exécution par substitution relèvent des rapports de droit privé entre la municipalité et l'entreprise tierce désignée. Le recours, manifestement mal fondé, doit être rejeté.</w:t>
      </w:r>
    </w:p>
    <w:p>
      <w:r>
        <w:rPr>
          <w:b/>
        </w:rPr>
        <w:t>E. 3</w:t>
      </w:r>
    </w:p>
    <w:p>
      <w:r>
        <w:t>Au vu des considérants qui précèdent, le recours doit être rejeté en tant qu'il est recevable. L'arrêt étant rendu en application de l'art. 82 LPA-VD, sans échange d'écriture, il peut être renoncé à la perception d'un émolument judiciaire (art. 50 LPA-VD). L'autorité intimée s'étant exprimée spontanément par courrier sur la seule question de la restitution éventuelle de l'effet suspensif, il n'y a pas lieu de lui allouer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