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AC.2022.0084 vom 6. März 2025</w:t>
      </w:r>
    </w:p>
    <w:p>
      <w:r>
        <w:t>VD Tribunal cantonal, 2025-03-06, FR</w:t>
      </w:r>
    </w:p>
    <w:p>
      <w:r>
        <w:rPr>
          <w:b/>
        </w:rPr>
        <w:t xml:space="preserve">Quelle: </w:t>
      </w:r>
      <w:r>
        <w:t>https://mcp.opencaselaw.ch/entscheid/vd_omni_AC.2022.0084</w:t>
      </w:r>
    </w:p>
    <w:p>
      <w:r>
        <w:t>FR: VD_OMNI AC.2022.0084 du 6 mars 2025</w:t>
      </w:r>
    </w:p>
    <w:p>
      <w:r>
        <w:t>IT: VD_OMNI AC.2022.0084 del 6 marzo 2025</w:t>
      </w:r>
    </w:p>
    <w:p>
      <w:pPr>
        <w:pStyle w:val="Heading2"/>
      </w:pPr>
      <w:r>
        <w:t>Regeste</w:t>
      </w:r>
    </w:p>
    <w:p>
      <w:r>
        <w:t>A.________, B.________/Municipalité de Gland, Direction générale de l'environnement DGE-DIREV, C.________, D.________ | Station de lavage existante (5 boxes de lavage et 4 postes aspirateurs) devant faire l'objet d'un assainissement en ce qui concerne les nuisances sonores. Projet d'assainissement établi par l'exploitante prévoyant la réalisation d'un tunnel de lavage à la place d'un des box. Recours d'une voisine contre le permis de construire municipal délivré pour ce projet. Le projet, qui permet de respecter les valeurs de planification de l'OPB selon l'expertise acoustique mise en oeuvre par le tribunal, est conforme à l'affectation de la zone en tant que l'exploitation de la station de lavage constitue a priori une activité tout au plus "moyennement gênante" pour l'habitation (c. 4). Sous l'angle du principe de prévention et en se fondant sur l'expertise qu'il a diligentée, le tribunal subordonne le projet à diverses conditions supplémentaires, dont une fermeture de la station de lavage en semaine de 19h à 7h, ainsi que les dimanches et jours fériés. Recours partiellement admis sur ces points (c. 6). Rejet des griefs relatifs à l'espace à disposition sur la parcelle pour manoeuvrer (c. 7), aux dimensions du tunnel de lavage (c. 8) et à l'éclairage des boxes (c. 9). Recours partiellement admis.</w:t>
      </w:r>
    </w:p>
    <w:p>
      <w:pPr>
        <w:pStyle w:val="Heading2"/>
      </w:pPr>
      <w:r>
        <w:t>Erwägungen</w:t>
      </w:r>
    </w:p>
    <w:p>
      <w:r>
        <w:rPr>
          <w:b/>
        </w:rPr>
        <w:t>E. 1</w:t>
      </w:r>
    </w:p>
    <w:p>
      <w:r>
        <w:t>B.________ a déclaré par écrit le 2 juin 2022 qu'il retirait son recours, ce dont il est pris acte.</w:t>
      </w:r>
    </w:p>
    <w:p>
      <w:r>
        <w:rPr>
          <w:b/>
        </w:rPr>
        <w:t>E. 2</w:t>
      </w:r>
    </w:p>
    <w:p>
      <w:r>
        <w:t>Il convient d'examiner la recevabilité du recours de A.________, mise en cause par les parties. a) Sans conclure formellement à l'irrecevabilité du recours pour défaut de qualité pour recourir, la constructrice soutient que la recourante semble agir au nom de " riverains ", comme le laisserait suggérer certains passages de son recours. aa)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(ATF 139 II 499 consid. 2.2; TF 1C_56/2015 du 18 septembre 2015 consid. 3.1; CDAP AC.2019.0277 du 25 novembre 2021 consid. 2b/aa et les références). L'intérêt invoqué, qui peut être un intérêt de fait, doit se trouver dans un rapport étroit, spécial et digne d'être pris en considération avec l'objet de la contestation (ATF 143 II 506 consid. 5.1; 137 II 40 consid. 2.3 et les références). Le Tribunal fédéral a développé une jurisprudence au sujet de la qualité pour recourir du voisin (cf. ATF 141 II 50).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La situation la plus courante, dans la jurisprudence, est celle où le voisin est le propriétaire d’un bien-fonds situé à proximité de l’installation litigieuse, voire le locataire d’un bâtiment situé sur une autre parcelle. En effet, selon la jurisprudence, le locataire subit de la même manière que le propriétaire les inconvénients liés à la réalisation d'un projet contesté, spécialement s'il est lié par un contrat de bail de longue durée, qui l'a amené à réaliser des investissements importants dans les locaux en cause (CDAP AC.2020.0282 du 9 novembre 2021 consid. 1a; AC.2020.0246 du 21 mai 2021 consid. 1b/bb; AC.2018.0428 du 7 juin 2019 consid. 1c et les arrêts cités). bb) En tant que voisine locataire d'un appartement situé dans un immeuble construit sur la parcelle n° 4057, sis en face de la parcelle litigieuse n.4016 et qui n'en est séparé que par la rue de Riant-Coteau, la recourante (qui a pris part à la procédure précédente par le dépôt d'une opposition) doit se voir reconnaître la qualité pour recourir dès lors qu'elle recourt pour elle-même, contrairement à ce que laisse entendre la constructrice, et qu'elle critique les effets du projet contesté sur sa situation personnelle, notamment au plan des nuisances sonores. b) L'autorité intimée conclut à l'irrecevabilité du recours aux motifs que ce dernier n'est pas signé, qu'il ne contient aucune conclusion et que les motifs qui y sont exposés sont difficilement compréhensibles. On ignorerait ainsi si le recours porte sur la décision municipale du 18 février 2022 ou sur la synthèse CAMAC. La constructrice fait également valoir que le recours ne contient pas de véritables conclusions, sans toutefois conclure formellement à son irrecevabilité. Elle requiert que l'acte de recours soit renvoyé à la recourante pour être complété. aa) Selon l'art. 79 al. 1, 1 ère phrase LPA-VD, applicable au recours de droit administratif devant le Tribunal cantonal par renvoi de l'art. 99 LPA-VD, l'acte de recours doit être signé et indiquer les conclusions et motifs du recours.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(CDAP GE.2021.0181 du 29 mars 2022 consid. 2a; PS.2014.0078 du 27 juillet 2015 consid. 1; AC.2009.0154 du 25 novembre 2009 consid. 7). Si la motivation du recours ne doit pas nécessairement être pertinente, elle doit à tout le moins se rapporter à l'objet de la décision attaquée et au raisonnement qui la soutient (CDAP AF.2021.0002 du 10 décembre 2021 consid. 2a et les références; PE.2019.0361 du 11 mars 2019 consid. 2a). La jurisprudence fait preuve d'une relative souplesse en ce qui concerne tant la formulation des conclusions que la motivation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(CDAP FI.2019.0156 du 3 décembre 2020 consid. 3a; CR.2020.0004 du 18 mai 2020 consid. 1; AC.2016.0216 du 8 février 2017 consid. 1c). bb) En l'espèce, il est vrai que l'acte désigné comme " recours " annexé à la lettre d'accompagnement du 16 mars 2022 ne contient pas de conclusions formelles. Il y a également lieu de reconnaître que la motivation qui y est contenue présente sur certains points un caractère confus, de sorte qu'il est parfois difficile de discerner précisément les griefs soulevés. Il convient cependant de ne pas se montrer trop formaliste quant aux exigences liées à la motivation, ainsi que dans la formulation des conclusions lorsque, comme en l'espèce, la partie recourante n'est pas représentée par un mandataire professionnel (ATF 141 I 49 consid. 3.2; TF 2C_1053/2021 du 7 avril 2022 consid. 1.3; 2C_610/2020 du 19 novembre 2020 consid. 1.6; CDAP MPU.2019.0010 du 11 novembre 2019 consid. 3a; PS.2018.0083 du 7 février 2019 consid. 1b). En s'appuyant sur la motivation du recours, on saisit que la recourante requiert l'annulation du permis de construire délivré le 18 février 2022. On comprend également qu'elle conteste dans ce cadre tant la décision municipale du 18 février 2022, que l'autorisation spéciale délivrée par la DGE contenue dans la synthèse CAMAC du 1 er décembre 2021 (décision d'allègement, étant relevé que, pour le reste, la DGE a formulé uniquement un préavis) comme elle le précise d'ailleurs dans ses observations complémentaires (cf. p. 12 in fine ). On relèvera sur ce point que, selon la jurisprudence cantonale, un recours formé contre une décision municipale octroyant ou refusant un permis de construire est censé être également dirigé contre l'octroi ou le refus d'une autorisation cantonale spéciale, lorsque les griefs invoqués concernent des points que l'autorité cantonale a examinés ou aurait dû examiner dans sa décision (CDAP AC.2020.0063 du 18 décembre 2020 consid. 3c; AC.2016.0015 du 23 août 2016 consid. 1; AC.2010.0318 du 23 novembre 2011 consid. 1a; Tribunal administratif AC.2002.0046 du 20 août 2004 consid. 1a/bb). Enfin, si le document intitulé " Acte de recours " n'est lui-même pas signé, la lettre d'introduction du 16 mars 2022 qui l'accompagne l'est en revanche et il apparaîtrait dans ces circonstances excessivement formaliste de renvoyer le recours à la recourante pour qu'elle y appose sa signature. Le recours doit ainsi être considéré comme satisfaisant aux exigences de forme prescrites par l'art. 79 al. 1 LPA-VD, sans qu'il doive être complété conformément à l'art. 27 al. 4 LPA-VD. La requête formulée en ce sens par la constructrice est rejetée. c) Le recours satisfaisant aux conditions de recevabilité au sens des art. 75 et 79 LPA-VD, il y a lieu d'entrer en matière sur celui-ci.</w:t>
      </w:r>
    </w:p>
    <w:p>
      <w:r>
        <w:rPr>
          <w:b/>
        </w:rPr>
        <w:t>E. 3</w:t>
      </w:r>
    </w:p>
    <w:p>
      <w:r>
        <w:t>La recourante requiert que lui soit transmise une copie du rapport de la DGE du 24 août 2016 (cf. recours p. 12), en indiquant que l'autorité intimée a " toujours refusé " de le lui transmettre (cf. recours, p. 2). Implicitement, elle se plaint d'une violation de son droit d'être entendue. a) Tel que garanti par l'art. 29 al. 2 Cst., le droit d'être entendu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(ATF 142 II 154 consid. 4.2 p. 157; 137 II 266 consid. 3.2 p. 270). Le droit de consulter le dossier s'étend à toutes les pièces décisives (ATF 135 II 286 consid. 5.1 p. 293; 132 II 485 consid. 3.2 p. 494). Il en découle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p. 388 s.; 114 Ia 97 consid. 2c p. 100). Selon la jurisprudence, la violation du droit d'être entendu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(ATF 137 I 195 consid. 2.3 p. 197 s.; 135 I 279 consid. 2.6.1 p. 285; TF 8C_53/2012 du 6 juin 2012 consid. 6.1). Une réparation de la violation du droit d'être entendu peut également se justifier, même en présence d'un vice grave, lorsque le renvoi constituerait une vaine formalité et aboutirait à un allongement inutile de la procédure (ATF 137 I 195 consid. 2.3.2 p. 197 s.; TF 2C_1043/2013 du 11 juin 2014 consid. 2.2). b) En l'occurrence, l'allégation selon laquelle l'autorité intimée aurait expressément refusé de transmettre à la recourante une copie du rapport de la DGE du 24 août 2016 n'est étayée par aucune pièce au dossier. Quoi qu'il en soit, une éventuelle violation du droit d'être entendu de l'intéressée a été réparée dans le cadre de la présente procédure de recours, devant le tribunal de céans qui dispose du même pouvoir d'examen en fait et en droit que l'autorité intimée (art. 98 LPA-VD). En effet, par avis du 30 mai 2022, le juge instructeur a transmis à la recourante une copie des déterminations de la DGE auxquelles était annexé le rapport du 24 août 2016. La recourante a ainsi pu prendre connaissance de cette pièce avant de déposer ses observations complémentaires, lesquelles retranscrivent d'ailleurs in extenso la teneur des conclusions de la DGE figurant dans ce document. La requête tendant à l'obtention du rapport du 24 août 2016 est ainsi sans objet.</w:t>
      </w:r>
    </w:p>
    <w:p>
      <w:r>
        <w:rPr>
          <w:b/>
        </w:rPr>
        <w:t>E. 4</w:t>
      </w:r>
    </w:p>
    <w:p>
      <w:r>
        <w:t>La recourante fait valoir que l'exploitation de la station de lavage sur la parcelle n° 4016 dépasse le cadre d'une activité " moyennement gênante pour l'habitation " qu'autorise le RPPA. Selon elle, une telle activité devrait prendre place en zone industrielle. En cela, l'intéressée conteste implicitement que le projet litigieux soit conforme à l'affectation de la zone. La constructrice rétorque qu'un déplacement de la station de lavage dans une zone industrielle entraînerait des coûts qu'elle ne pourrait pas supporter et qu'un emplacement serait de surcroît pratiquement impossible à trouver. a) aa) Selon l'art. 22 al. 2 let. a de la loi du 22 juin 1979 sur l'aménagement du territoire (LAT; RS 700), l'autorisation est délivrée si la construction ou l'installation est conforme à l'affectation de la zone. Tel est le cas lorsque sa fonction concorde avec celle de la zone concernée (TF 1C_221/2007 du 3 mars 2008 consid. 5.2). L'art. 29 al. 2 de la loi du 4 décembre 1985 sur l'aménagement du territoire et les constructions (LATC; BLV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bb) La parcelle n° 4016 destinée à accueillir le projet litigieux est incluse dans le périmètre du PPA "En Meydez II" qui a pour but, d'une part, de définir des modalités d'implantation et d'aménagement cohérentes pour des activités artisanales en bordure de la route Suisse, d'autre part de préserver dans la mesure du possible les habitations situées au-delà de la rue de Riant-Coteau des nuisances sonores de la route cantonale et des activités (art. 1 RPPA). Selon l'art. 4 al. 1 RPPA, le périmètre du PPA est affecté aux activités artisanales, tertiaires et commerciales moyennement gênantes pour l'habitation. Les activités à forte génération de trafic et celles principalement occupées dans la vente de produits alimentaires ne sont pas autorisées. L'art. 10 RPPA prévoit qu'afin de préserver les habitations voisines, les surfaces de stationnement et de circulation, de même que celles de dépôt ou générant des nuisances, seront en principe localisées entre les constructions et la route cantonale (al. 1). Tant du point de vue de l'aménagement que de l'utilisation, le traitement des abords de la rue de Riant-Coteau fera l'objet d'un soin particulier pour offrir une perception depuis l'espace public adaptée au voisinage résidentiel (al. 2). cc) Dans la mesure où est mise en cause l'application du RPPA, il convient de rappeler, à titre préalable, que selon une jurisprudence constante, la municipalité jouit d'un certain pouvoir d'appréciation dans l'interprétation qu'elle fait des règlements communaux (CDAP AC.2023.0138 du 30 mai 2024 consid. 1C; AC.2022.0126 du 28 juillet 2023 consid. 5a; AC.2020.0059 du 2 février 2021 consid. 2c;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AC.2020.0059 précité consid. 5a; AC.2019.0262 du 19 février 2021 consid. 5b; AC.2019.0150 du 10 décembre 2020 consid. 3a; AC.2019.0196 précité consid. 4c; AC.2017.0264 du 20 avril 2018 consid. 4b). Dans un arrêt relativement récent, le Tribunal fédéral a confirmé que la municipalité dispose d'une importante latitude de jugement pour interpréter son règlement, celle-ci découlant de l'autonomie communale garantie par l'art. 50 al. 1 Cst. Selon le Tribunal fédéral,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Conformément aux art. 46 et 49 Cst., l’autorité de recours doit en particulier sanctionner l’appréciation communale lorsque celle-ci contrevient au droit supérieur. Sur des éléments susceptibles de heurter le droit supérieur, il appartient à la commune de motiver soigneusement sa décision. Le contrôle de l'opportunité s’exerce donc avec retenue sur des points concernant principalement des intérêts locaux, tandis que, au contraire, la prise en considération adéquate d’intérêts d’ordre supérieur, dont la sauvegarde incombe aux cantons, doit être imposée par un contrôle strict. L’autorité intervient ainsi non seulement lorsque la mesure d’aménagement retenue par la commune est insoutenable, mais aussi lorsqu’elle apparaît inappropriée à des intérêts qui dépassent la sphère communale (cf. ATF 146 II 367 consid. 3.1.4). dd) Il convient d'examiner en premier lieu si les dispositions du règlement communal conservent une portée propre par rapport aux dispositions de la LPE et de l’OPB relatives à la protection des voisins contre les nuisances sonores d'une installation. En droit de l'environnement, la Confédération dispose d'une compétence législative générale dotée d'un effet dérogatoire subséquent, les cantons ne pouvant légiférer que dans la mesure où la Confédération ne l'a pas exhaustivement fait (art. 74 al. 1 Cst.; cf. TF 1A.14/2006 du 18 août 2006 consid. 2.3 in DEP 2006 p. 815; 1C_638/2012 du 14 janvier 2014 consid. 10.1.2; 1C_564/2015 du 2 juin 2016 consid. 4.1). Celle-ci a fait usage de cette compétence en promulguant la LPE, de sorte que le droit cantonal couvrant la même matière ou moins étendu a perdu toute signification propre. Il faut cependant nuancer le principe selon lequel la législation fédérale l'emporte sur les règles de droit cantonal ou communal limitant quantitativement les nuisances.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3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consid. 7c).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arrêt dans lequel le Tribunal fédéral a relevé que le droit cantonal ou communal pouvait ainsi interdire, dans un lieu où les activités commerciales doivent coexister avec l'habitation, une exploitation qui par nature s'exerce le soir et la nuit; cf. en outre CDAP AC.2023.0239 précité consid. 2c/bb; GE.2008.0181 du 28 décembre 2009 consid. 2d). Le Tribunal fédéral a ainsi retenu que les dispositions de la législation fédérale sur la protection de l'environnement relatives à la protection contre le bruit n'excluaient pas l'application de prescriptions cantonales ou communales destinées à protéger le repos nocturne ou dominical, ou d'autres valeurs dites de police (TF 2C_1017/2011 du 8 mai 2012 consid. 4.4; 2C_378/2008 du 20 février 2009 consid. 3.2; CDAP AC.2023.0053 précité consid. 4a). b) La formulation de l'art. 4 al. 1 RPPA laisse à l'autorité intimée, dans l'application qu'elle fait de ce règlement, une certaine marge pour l'interprétation et la concrétisation de la notion juridique indéterminée d'activités artisanales, tertiaires et commerciales "moyennement gênantes pour l'habitation". En l'espèce, il ressort de l'expertise mise en œuvre par le tribunal que le projet litigieux respecte les valeurs de planification de l'OPB. Dans ces conditions, compte tenu de la latitude de jugement dont dispose la municipalité pour interpréter ses règlements, son appréciation selon laquelle le projet est conforme à l'affectation de la zone, à savoir que l'exploitation de la station de lavage litigieuse constitue a priori une activité tout au plus "moyennement gênante" au sens de l'art. 4 RPPA, peut être confirmée.</w:t>
      </w:r>
    </w:p>
    <w:p>
      <w:r>
        <w:rPr>
          <w:b/>
        </w:rPr>
        <w:t>E. 5</w:t>
      </w:r>
    </w:p>
    <w:p>
      <w:r>
        <w:t>Il sied encore d'examiner la régularité du projet sous l'angle de la législation fédérale sur la protection contre le bruit, la recourante se plaignant de nuisances sonores en lien avec l'exploitation de la station de lavage. a) Le bruit constitue une atteinte au sens de l'art. 1 al. 1 LPE (art. 7 al. 1 LPE). Le bruit est dénommé émission au sortir de l'installation et immission au lieu de son effet (art. 7 al. 2 LPE). L'art. 11 al. 1 LPE prévoit que le bruit doit être limité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l'OPB. Le projet litigieux concerne la modification d'une installation fixe nouvelle puisque la construction de la station de lavage exploitée par la constructrice à Gland a été autorisée après le 1 er janvier 1985. En cas de modification d'une installation fixe nouvelle, il y a lieu d'appliquer les dispositions concernant la limitation des émissions des installations fixes nouvelles (cf. art. 8 al. 4 OPB qui renvoie à l'art. 7 OPB), en procédant à une appréciation d'ensemble de l'installation, qui englobe l'installation déjà présente et les modifications prévues (cf. ATF 125 II 643 consid. 17). La station de lavage telle que modifiée par le projet litigieux ne peut par conséquent être autorisée que si les immissions sonores (cf. art. 7 al. 2 i.f LPE) qu'elle engendre ne dépassent pas les valeurs de planification fixées à l'annexe</w:t>
      </w:r>
    </w:p>
    <w:p>
      <w:r>
        <w:rPr>
          <w:b/>
        </w:rPr>
        <w:t>E. 5.1</w:t>
      </w:r>
    </w:p>
    <w:p>
      <w:r>
        <w:t>et les arrêts cités).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AC.2020.0098 du 9 mars 2021 consid. 3a). bb) En l'occurrence, on peut constater que la rue de Riant-Coteau constitue un accès suffisant pour accéder à la station de lavage. Pour le surplus, la question de l'aménagement d'un nouvel accès à la parcelle depuis la Route Suisse excède l'objet du litige et n'a pas à être examinée dans le présent arrêt. Un tel accès n'est pas prévu dans le projet litigieux et l'autorité compétente (la DGMR vu qu'il s'agit d'un accès à une route cantonale) n'a pas été consultée et n'a donc pris aucune décision formelle sur ce point. b) Si on comprend bien, la recourante fait valoir que l'espace disponible pour manœuvrer sur le site de la station de lavage est insuffisant pour garantir une circulation fluide aux utilisateurs. Elle mentionne un goulet d'étranglement qui résulterait de la construction du nouveau tunnel de lavage et qui pourrait accentuer le problème des files d'attente de véhicules sur la rue de Riant-Coteau. La recourante n'indique pas à quelles dispositions légales la situation qu'elle décrit pourrait contrevenir. Or, le tribunal ne peut intervenir que s'il constate une violation du droit et ne peut par conséquent pas sanctionner une mesure constructive au seul motif qu'elle apparaîtrait inopportune. Dès lors qu'on ne voit pas quelle disposition légale pourrait être violée, ce grief doit être écarté. c) Il convient encore d'examiner si la circulation sur la Rue de Riant-Coteau est susceptible de poser problème au regard de l'art. 9 OPB. Selon l'art. 9 OPB,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Il ressort de l'expertise que le projet litigieux génère une augmentation du bruit routier de 1 dB(A) à 2 dB(A). Toutefois, les immissions ne dépassent pas les valeurs limites d'immissions. Dans ces conditions, l'art. 9 OPB est respecté.</w:t>
      </w:r>
    </w:p>
    <w:p>
      <w:r>
        <w:rPr>
          <w:b/>
        </w:rPr>
        <w:t>E. 6</w:t>
      </w:r>
    </w:p>
    <w:p>
      <w:r>
        <w:t>a) aa) Les émissions de bruit (cf.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(ATF 141 II 476 consid. 3.2). Le critère du caractère économiquement supportable d'une mesure se rapproche de celui de la proportionnalité (ATF 127 II 306 consid. 8; TF 1C_84/2017 du 18 août 2017 consid. 5.3.1), il s'agit d'une concrétisation de ce qui est supportable (" Zumutbarkeit "; proportionnalité au sens étroit); il faut l'admettre lorsqu'il existe un rapport raisonnable entre la nécessité de la mesure et la gravité des inconvénients qui y sont liés (ATF 127 II 306 consid. 8; TF 1C_84/2017 précité consid. 5.3.1). Selon la jurisprudence, si les valeurs de planification sont respectées, les limitations plus sévères des émissions ne sont proportionnées que si un investissement faible permet d'obtenir une réduction substantielle des émissions (DEP 2012, p. 19). En vertu de l'art. 4 al. 3 de l'ordonnance sur la protection de l'air du 16 décembre 1985 (OPair; RS 814.318.142.1) – applicable par analogie (cf. ATF 123 II 325 consid. 4e/bb) – pour évaluer si la limitation des émissions correspond à ce critère, on se fondera sur une entreprise moyenne, économiquement saine de la branche concernée; lorsqu'il y a dans une branche donnée des catégories très différentes d'entreprises, l'évaluation se fera à partir d'une entreprise moyenne de la catégorie correspondante (TF 1C_84/2017 précité consid. 5.3.1 et les références). bb) L'art. 12 LPE prévoit que les émissions peuvent notamment être limitées par des prescriptions en matière d'exploitation (al. 1 let. c), ce qui permet à l'autorité compétente, qui bénéficie dans ce cadre d'une importante latitude de jugement, d'imposer des horaires plus stricts que ceux découlant des règles générales de police applicables, lorsque la situation concrète le justifie (TF 1C_161/2015 du 22 décembre 2015 consid. 2 et les références citées). La recourante fait valoir sur ce point que les horaires d'ouverture de la station de lavage sont abusifs, en qualifiant de dérisoires les modifications d'horaire intervenues en 2017. Elle soutient que la mesure d'assainissement la plus efficace consisterait à mettre ces horaires " en conformité " "avec " la jurisprudence ", en se référant à un arrêt du Tribunal fédéral 2C_1017/2011 du 8 mai 2012. Elle demande par conséquent que la station de lavage ne puisse fonctionner que jusqu'à 19h avec une pause entre 12h et 13h et qu'elle ne puisse pas fonctionner les dimanches et jours fériés. Elle souligne qu'il n'existerait aucune autre station de lavage présentant une situation similaire qui fonctionnerait les dimanches et jours fériés. b) On relèvera en premier lieu que la recourante ne saurait exiger que les horaires d'exploitation de la station de lavage litigieuse soient harmonisés avec ceux fixés dans la norme réglementaire communale valaisanne discutée dans l'arrêt du Tribunal fédéral 2C_1017/2011 qu'elle mentionne à plusieurs reprises, norme qui prévoit que l 'utilisation des stations et tunnels de lavage en plein air situés dans des zones d'habitation ou vouées à l'habitat est interdite entre 12h00 et 13h00 et entre 19h00 et 07h00, ainsi que les dimanches et jours fériés. Cet arrêt porte en effet sur une question différente puisque le Tribunal fédéral, saisi d'un recours formé par les exploitants d'une station de lavage contre une décision du Conseil communal qui avait refusé une demande d'extension des horaires d'exploitation tels que définis par cette norme réglementaire , a examiné la validité de cette norme principalement au regard des principes de la primauté du droit fédéral et de la liberté économique. c) aa) Dans son complément d'expertise, l'expert mis en œuvre par le tribunal mentionne un certain nombre de mesures qui permettront de diminuer les émissions de bruit provenant du tunnel de lavage projeté (p. 15 ch. 2.1.5 et 2.2.6). Afin de satisfaire les mesures techniques préventives au sens de l'art. 11 al. 2 LPE, il prévoit ainsi que les compositions des parois et de la toiture du tunnel de lavage doivent présenter des pouvoirs d'isolation phoniques au moins égaux à ceux du tunnel de lavage de Rennaz (soit l'installation qui a fait l'objet de mesurages dans le cadre du complément d'expertise). L'expert demande également que les portes coulissantes d'entrée et de sortie du tunnel (soit les éléments les plus faibles participant au rayonnement majoritaire du tunnel de lavage) soient entretenus de manière à ce que les jointures avec le sol soient efficaces (ceci afin de ne pas dégrader l'isolation phonique). Enfin, l'expert demande que la borne d'achat diffusant les messages vocaux soit installée du côté lac (et non pas du côté rue Riant-Coteau) et que son niveau sonore soit limité à 65 dB(A) à 50 centimètres. Le tribunal considère que ces différentes mesures, qui permettent une réduction substantielle des émissions du tunnel de lavage, peuvent être imposées comme mesures préventives en application des art. 11 al. 2 LPE et</w:t>
      </w:r>
    </w:p>
    <w:p>
      <w:r>
        <w:rPr>
          <w:b/>
        </w:rPr>
        <w:t>E. 7</w:t>
      </w:r>
    </w:p>
    <w:p>
      <w:r>
        <w:t>La recourante prétend que le tunnel de lavage projeté est disproportionné par rapport à la surface disponible. Elle indique que cette construction créerait un goulet d'étranglement pour entrer et sortir de la station de lavage puisqu'il deviendrait presque impossible de circuler en passant derrière les boxes de lavage, en raison des aspirateurs qui seront déplacés le long de la Route Suisse. Les manœuvres de croisement et de recul des véhicules sortant des boxes seraient entravés, créant un problème de sécurité pour les utilisateurs. Cela aggraverait en outre le problème des voitures stationnées en attente sur la rue de Riant-Coteau, dont certaines démarrent en trombe, rendant les abords de cette voie de circulation peu sûrs. La recourante requiert à cet égard que l'accès à la station de lavage s'effectue par la Route Suisse. L'autorité intimée conteste tout problème de "goulet d'étranglement", en relevant que les utilisateurs soit viendront utiliser les boxes de lavage et en ressortiront ensuite en direction de la parcelle n° 4017, soit viendront utiliser les aspirateurs et pourront donc circuler le long de la Route Suisse puis sortir en longeant la parcelle n° 4017. La constructrice indique également que le tunnel de lavage projeté n'entravera pas le déplacement des véhicules, cela d'autant moins que les véhicules sortant dudit tunnel auront l'obligation de tourner à droite. Elle ajoute que la route d'accès à la station de lavage, soit la rue de Riant-Coteau, est limitée à 30 km/h et que la circulation sur le site de la station de lavage est strictement régulée, de manière à assurer la sécurité des usagers et celle des piétons autour du centre de lavage. Elle relève enfin qu'un accès à la station de lavage par la Route Suisse nécessiterait des aménagements coûteux qui aggraveraient de surcroît les nuisances sonores puisque les aspirateurs, qui bloquent actuellement l'accès à la station depuis la Route Suisse, devraient être déplacés vers l'entrée actuelle, soit devant l'habitation de la recourante. a) aa) L'art. 22 al. 2 let. b LAT soumet la délivrance d'une autorisation de construire à la condition que le terrain soit équipé. Cette exigence figure aussi à l'art. 104 al. 3 LATC. Selon l'art. 19 al. 1 LAT, un terrain est réputé équipé lorsqu'il est desservi d'une manière adaptée à l'utilisation prévue par des voies d'accès. La jurisprudence retient qu'une voie d'accès est adaptée à l'utilisation prévue lorsqu'elle est suffisante d'un point de vue technique et juridique pour accueillir tout le trafic de la zone qu'elle dessert .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TF 1C_382/2018 du 10 juillet 2019 consid.</w:t>
      </w:r>
    </w:p>
    <w:p>
      <w:r>
        <w:rPr>
          <w:b/>
        </w:rPr>
        <w:t>E. 7.00</w:t>
      </w:r>
    </w:p>
    <w:p>
      <w:r>
        <w:t>heures. Vu le sort du recours, les frais de la cause, y compris les frais d'expertise, seront partagés entre l'Etat de Vaud, la recourante et C.________. Il n'y a pas lieu d'allouer de dépens.</w:t>
      </w:r>
    </w:p>
    <w:p>
      <w:r>
        <w:rPr>
          <w:b/>
        </w:rPr>
        <w:t>E. 8</w:t>
      </w:r>
    </w:p>
    <w:p>
      <w:r>
        <w:t>La recourante fait valoir que la construction du nouveau portique projeté correspondra pratiquement à ériger devant son immeuble d'habitation " un bloc de 77 m 2 ". Elle relève que la moitié des appartements de l'immeuble (au rez-de-chaussée et au 1 er étage) seraient privés de toute vue. Elle critique également une " dénaturation " de l'environnement. S'il n'est pas contestable que la construction envisagée aura un impact important sur la vue dont bénéficient aujourd'hui la recourante, respectivement certains locataires de son immeuble d'habitation, il s'impose toutefois de rappeler que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(CDAP AC.2019.0148 du 16 décembre 2019 consid. 4d/bb; AC.2018.0244 du 13 juin 2019 consid. 4a; AC.2015.0049 du 22 novembre 2016 consid. 5). En d’autres termes, le droit à la vue n’est pas protégé en droit public, si ce n’est indirectement au travers des règles de police des constructions fixant la distance à respecter entre bâtiments et limites de propriété voisine, ainsi que la hauteur des constructions (CDAP AC.2021.0018 du 12 janvier 2022 consid. 4b/bb; AC.2018.0440 du 7 janvier 2019 consid. 10d).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(CDAP AC.2020.0211 du 8 janvier 2021 consid. 5; AC.2018.0414 du 16 juillet 2019 consid. 9c/bb; AC.2016.0349 du 14 décembre 2017 consid. 5b). En l'espèce, le nouveau portique et la paroi phonique installée sur la toiture de celui-ci présentent une hauteur cumulée de 5,50 m, soit bien en-dessous de la hauteur maximale réglementaire à la corniche des constructions fixée à 6,50 m (art. 8 RPPA), ce que la recourante ne conteste pas. Cette dernière ne saurait ainsi invoquer l'impact dudit projet sur la vue pour s'opposer à la délivrance du permis de construire. Pour le surplus, une installation telle que le tunnel de lavage litigieux peut s'implanter dans un secteur comprenant des bâtiments affectés à des activités artisanales, tertiaires et commerciales. La recourante ne saurait ainsi être suivie lorsqu'elle soutient que cette installation va entraîner une " dénaturation " de l'environnement.</w:t>
      </w:r>
    </w:p>
    <w:p>
      <w:r>
        <w:rPr>
          <w:b/>
        </w:rPr>
        <w:t>E. 9</w:t>
      </w:r>
    </w:p>
    <w:p>
      <w:r>
        <w:t>La recourante requiert l'extinction complète de l'éclairage des boxes pendant la durée de fermeture de la station de lavage. La décision attaquée concerne un projet d'assainissement d'une installation existante en raison des nuisance sonores qu'elle induit. Les questions liées à l'éclairage de cette installation excèdent par conséquent l'objet du litige et n'ont pas à être examinées dans le présent arrêt. Cas échéant, si elle souhaite que l'installation soit également assainie sur ce point, il appartient à la recourante de saisir les autorités compétentes (communale et/ou cantonale) afin qu'elles statuent sur sa demande.</w:t>
      </w:r>
    </w:p>
    <w:p>
      <w:r>
        <w:rPr>
          <w:b/>
        </w:rPr>
        <w:t>E. 10</w:t>
      </w:r>
    </w:p>
    <w:p>
      <w:r>
        <w:t>Il découle de ce qui précède que le recours doit être partiellement admis. La décision de la municipalité du 18 février 2022 est réformée en ce sens que le permis de construire portant sur le " Projet d'assainissement des nuisances sonores par suppression d'une piste de lavage et construction d'une station de lavage avec portique " requis par D.________ est subordonnée aux conditions supplémentaires suivantes: - Les parois et de la toiture du tunnel de lavage doivent présenter des pouvoirs d'isolation phoniques au moins égaux à ceux du tunnel de lavage de Rennaz exploité par C.________. - Les portes coulissantes d'entrée et de sortie du tunnel de lavage doivent être entretenues de manière à ce que les jointures avec le sol soient constamment efficaces. - La borne d'achat diffusant les messages vocaux doit être installée du côté lac et son niveau sonore doit être limité à 65 dB(A) à 50 centimètres. - Suppression des fenêtres du tunnel de lavage. - Fermeture du tunnel de lavage durant son fonctionnement. - Installation de matériaux absorbants et résistants aux projections d'eau contre deux murs adjacents de chaque box. - Fermeture de toutes les faces des boxes mis à part le côté ouvert pour l'accès des véhicules. - Suppression du pan du mur du box de lavage n° 5 côté lac. - Fermeture de la totalité de la station de lavage (tunnel de lavage, boxes, aspirateurs et installation de lavage de moquette) les dimanches et jours fériés. - Fermeture de la totalité de la station de lavage (tunnel de lavage, boxes, aspirateurs et installation de lavage de moquette) les jours de semaine entre 19.00 heures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