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AC.2022.0073 vom 8. Mai 2023</w:t>
      </w:r>
    </w:p>
    <w:p>
      <w:r>
        <w:t>VD Tribunal cantonal, 2023-05-08, FR</w:t>
      </w:r>
    </w:p>
    <w:p>
      <w:r>
        <w:rPr>
          <w:b/>
        </w:rPr>
        <w:t xml:space="preserve">Quelle: </w:t>
      </w:r>
      <w:r>
        <w:t>https://mcp.opencaselaw.ch/entscheid/vd_omni_AC.2022.0073</w:t>
      </w:r>
    </w:p>
    <w:p>
      <w:r>
        <w:t>FR: VD_OMNI AC.2022.0073 du 8 mai 2023</w:t>
      </w:r>
    </w:p>
    <w:p>
      <w:r>
        <w:t>IT: VD_OMNI AC.2022.0073 del 8 maggio 2023</w:t>
      </w:r>
    </w:p>
    <w:p>
      <w:pPr>
        <w:pStyle w:val="Heading2"/>
      </w:pPr>
      <w:r>
        <w:t>Regeste</w:t>
      </w:r>
    </w:p>
    <w:p>
      <w:r>
        <w:t>A.________, B.________/Municipalité de Corsier-sur-Vevey, Direction générale des immeubles et du patrimoine | Rejet du recours dirigé contre un permis autorisant la construction de pavillons scolaires provisoires à Corsier-sur-Vevey. Les recourants ne démontrent pas que l'art. 135 LATC, applicable en cas de lacunes dans les règles communales relatives à la ZUP, ne serait pas respecté. Opportunité du projet (c. 2). Les pavillons sont provisoires, ce qui garantit, à terme, l'observation des exigences fédérales en matière de protection du patrimoine bâti (c. 3). Pas de droit à la tenue d'une séance d'information (c. 4). Les recourants, protégés contre le bruit par le DS III applicable à leur parcelle, n'ont pas d'intérêt à faire modifier le DS III attribué aux parcelles voisines qui supportent le projet litigieux (c. 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propriétaire d'un bien-fonds directement voisin, qui a formé opposition lors de l'enquête publique, a qualité pour recourir lorsqu'il critique notamment les dimensions ou les effets de la construction projetée (art. 75 LPA-VD en lien avec l’art. 99 LPA-VD). Tel est bien le cas en l’espèce. Il y a donc lieu en principe d'entrer en matière sur le présent recours, déposé en temps utile (art. 95 LPA-VD) et respectant les exigences de motivation (art. 79 LPA-VD, par renvoi de l'art. 99 LPA-VD).</w:t>
      </w:r>
    </w:p>
    <w:p>
      <w:r>
        <w:rPr>
          <w:b/>
        </w:rPr>
        <w:t>E. 2</w:t>
      </w:r>
    </w:p>
    <w:p>
      <w:r>
        <w:t>Est périmètre de localité l'aire délimitée par une ligne entourant à une distance de cinquante mètres les bâtiments extérieurs d'une localité (ville, village ou hameau). A l'intérieur de ce périmètre, les constructions sont autorisées selon les règles suivantes : a. partout où les bâtiments existants sont construits dans l'ordre contigu, celui-ci est maintenu ; b. là où l'ordre contigu n'existe pas, l'ordre non contigu est obligatoire ; la distance à la limite de la propriété privée voisine ne peut être inférieure à cinq mètres ; c. quel que soit l'ordre des constructions, celles-ci ne peuvent comprendre plus de trois niveaux habitables, ni excéder la hauteur de onze mètres à la corniche." Il convient en tous les cas que l'autorité saisie, en particulier l'autorité de recours, renonce à limiter son pouvoir d'examen et procède à un contrôle de l'opportunité du projet comme l'exige l'art. 33 al. 3 let. b de la loi fédérale du 22 juin 1979 sur l'aménagement du territoire (LAT; RS 700) [cf. CDAP AC.2021.0339 précité consid. 2b; sur la question du contrôle de l'opportunité par l'autorité de recours, cf. ATF 146 II 367 consid. 3.1.4]. b) En l'occurrence, les recourants estiment que l'art. 47 par. 2 RPEPC est lacunaire, en ce qu'il laisse à la municipalité, " seule juge des critères à fixer ", une " latitude complète quant à l'utilisation du sol, qu'il s'agisse de la distance aux propriétés voisines et des autres conditions de construction telle que la hauteur, le volume, etc. ". Ils ne démontrent cependant pas pour quelles raisons le prescrit de l'art. 135 LATC, applicable en cas de lacunes dans la réglementation communale relative à la zone d'utilité publique, ne serait pas respecté, et la CDAP n'en voit aucune. S'agissant de l'opportunité du projet, le choix de la commune d'installer les pavillons scolaires et préscolaires provisoires sur les parcelles n os 40 et 46 n'apparaît pas critiquable. Les pavillons sont en effet conçus pour être tôt ou tard démontés, en particulier lorsque des solutions pérennes pour l'accueil des élèves et des enfants en âge préscolaire auront été adoptées. Les recourants ne développent au demeurant pas les éventuelles atteintes à leurs intérêts privés. Tout au plus évoquent-ils les nuisances que provoquerait l'augmentation du nombre d'élèves qui pourraient emprunter le passage public grevant la parcelle n o 36. Or, sur un total de 44 enfants, tous ne suivront pas l'itinéraire qui permet de relier les terrains de sport (et, cas échéant, les pavillons) à la rue centrale; les passages se limiteront de toute manière aux heures d'arrivée et de départ de l'école en période scolaire, ce qui circonscrit passablement l'usage qui peut être fait de ce cheminement. Au surplus, les enfants en âge préscolaire ne se déplacent pas seuls et ne sauraient être les auteurs d'incivilités ou de déprédations lors de leurs éventuels passages sur la parcelle des recourants.</w:t>
      </w:r>
    </w:p>
    <w:p>
      <w:r>
        <w:rPr>
          <w:b/>
        </w:rPr>
        <w:t>E. 3</w:t>
      </w:r>
    </w:p>
    <w:p>
      <w:r>
        <w:t>Les recourants allèguent ensuite que les pavillons projetés n'ont pas leur place dans un environnement protégé (ISOS) et que, par leur toit plat, ils contreviennent à la réglementation communale. Dans le cadre de la synthèse établie par la CAMAC, la DGIP a formulé une remarque, relevant que le projet provisoire n'influence que très peu les abords d'objets recensés ou inscrits à l'Inventaire cantonal, mais qu'il faudra prendre garde, s'agissant d'un périmètre villageois inscrit à l'ISOS, de permettre un retour à l'état actuel du site, un matériau réversible et/ou perméable devant être favorisé pour le cheminement piétonnier. Sous ces réserves, la DGIP a estimé que le projet litigieux est admissible, nonobstant son toit plat. La CDAP n'a aucun motif sérieux et objectif de s'écarter de cet avis émanant d'un service spécialisé de l'administration cantonale, ni de son évaluation de l'impact du projet litigieux sous l'angle de la protection des sites construits d'importance nationale (cf. notamment TF 1C_405/2011 du 26 avril 2012 consid. 2.6). Il convient de relever en particulier que les pavillons projetés sont provisoires et qu'ils sont voués à la démolition, ce qui garantit, à terme, l'observation des exigences fédérales en matière de protection du patrimoine bâti, de sorte que le grief des recourants tombe à faux.</w:t>
      </w:r>
    </w:p>
    <w:p>
      <w:r>
        <w:rPr>
          <w:b/>
        </w:rPr>
        <w:t>E. 4</w:t>
      </w:r>
    </w:p>
    <w:p>
      <w:r>
        <w:t>Invoquant l'art. 47 RPEPC, les recourants font encore grief à l'autorité intimée de ne pas les avoir conviés à la séance d'information mise en œuvre dans le cadre de l'élaboration du projet. L'art. 47 RPEPC, dont la teneur a été rappelée sous consid. 2, ne prescrit pas la tenue d'une séance d'information à laquelle les voisins auraient droit. L'autorité intimée n'a pas violé le droit en ne conviant pas les recourants à une séance d'information alors même que, selon leurs allégations, elle aurait invité plusieurs autres propriétaires voisins. Les recourants pouvaient obtenir toutes les informations utiles en lien avec le projet en consultant le dossier mis à l'enquête publique. Ils ont en outre pu être entendus et faire valoir leurs arguments dans le cadre de leur opposition et dans la présente procédure de recours de droit administratif: tout grief d'ordre formel peut donc être écarté.</w:t>
      </w:r>
    </w:p>
    <w:p>
      <w:r>
        <w:rPr>
          <w:b/>
        </w:rPr>
        <w:t>E. 5</w:t>
      </w:r>
    </w:p>
    <w:p>
      <w:r>
        <w:t>Enfin, les recourants se plaignent du fait que le DS au bruit III a été attribué aux parcelles concernées par le projet litigieux. S'agissant de constructions et d'installations publiques, c'est le DS II qui, selon eux, aurait dû être appliqué (cf. art. 43 al. 1 let. b de l'ordonnance du 15 décembre 1986 sur la protection contre le bruit [OPB; RS 814.41]). a) Les DS au bruit indiquent le niveau d'immissions à partir duquel les nuisances sonores sont ressenties comme incommodantes par la population de la zone concernée. Ce niveau doit être respecté par toute installation fixe nouvelle ou existante. Il convient de déterminer les DS au bruit selon l'intensité des nuisances tolérées dans la zone en question. En vertu de l'art. 43 OPB, des DS au bruit sont à appliquer dans les différentes zones des plans d'affectation, en particulier le DS II dans les zones où aucune entreprise gênante n'est autorisée, notamment dans les zones d'habitation ainsi que dans celles réservées à des constructions et installations publiques (art. 43 al. 1 let. b OPB), et le DS III dans les zones où sont admises des entreprises moyennement gênantes, notamment dans les zones d'habitation et artisanales (zones mixtes) ainsi que dans les zones agricoles (art. 43 al. 1 let. c OPB). C'est en fonction du DS que les valeurs limites d'exposition au bruit peuvent être déterminées (cf. art. 40 al. 1 OPB et les annexes à cette ordonnance). Aux termes de l'art. 44 al. 1 OPB, les cantons veillent à ce que les DS soient attribués aux zones d'affectation dans les règlements de construction ou les plans d'affectation communaux. Cette attribution s'opère, conformément à l'art. 44 al. 2 OPB, " lors de la délimitation ou de la modification des zones d'affectation ou lors de la modification des règlements de construction ". L'art. 44 al. 3 OPB dispose qu'avant l'attribution formelle, les DS sont déterminés " cas par cas par les cantons ". Selon la jurisprudence, la détermination " cas par cas " d'un DS ne peut intervenir que dans le cadre d'une procédure ouverte pour l'examen d'un projet concret (de construction, de transformation, d'assainissement, etc.). Une telle détermination n'a aucun effet juridique hors de cette procédure; il ne s'agit donc pas d'une mesure analogue à l'attribution proprement dite, selon l'art. 44 al. 1 et 2 OPB, dont le caractère provisoire serait la seule particularité (CDAP AC.2021.0117 du 2 mars 2022 consid. 2a). b) En l'occurrence, la commune de Corsier-sur-Vevey n'a pas encore attribué les DS dans son plan d'affectation: seule la procédure d'attribution du DS au " cas par cas " au sens de l'art. 44 al. 3 OPB peut donc entrer en ligne de compte. Le DS III a été attribué à la parcelle des recourants, sise en zone de village (sur l'attribution du DS III à la zone de village de la commune de Corsier-sur-Vevey, cf. CDAP AC.2021.0117 précité consid. 2b). Cela signifie que ces derniers sont protégés contre les immissions sonores générées tant à l'intérieur de la zone de village que par des installations situées à l'extérieur de celle-ci, et ce, en fonction du DS III applicable à leur propre parcelle (cf. CDAP AC.2009.0131 du 26 mars 2010 consid. 6a; AC.2008.0322 du 28 décembre 2009). Les recourants ne jouissent dès lors pas d'un intérêt digne de protection à faire modifier le DS III attribué aux parcelles n os 36 et 40 voisines, la construction projetée sur celles-ci devant respecter, quoi qu'il en soit, sur la parcelle n o 36, les valeurs limites correspondant à un DS III. Les recourants ne peuvent donc être admis à contester le DS attribué à la zone de constructions d'utilité publique dans le cadre du projet litigieux.</w:t>
      </w:r>
    </w:p>
    <w:p>
      <w:r>
        <w:rPr>
          <w:b/>
        </w:rPr>
        <w:t>E. 6</w:t>
      </w:r>
    </w:p>
    <w:p>
      <w:r>
        <w:t>Il ressort de ce qui précède que le recours, manifestement mal fondé, doit être rejeté et la décision attaquée confirmée. Un émolument de justice sera mis à la charge des recourants, qui succombent (art. 49 al. 1 LPA-VD). Ceux-ci supporteront également une indemnité de dépens en faveur de la municipalité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