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AC.2022.0040 vom 22. September 2023</w:t>
      </w:r>
    </w:p>
    <w:p>
      <w:r>
        <w:t>VD Tribunal cantonal, 2023-09-22, FR</w:t>
      </w:r>
    </w:p>
    <w:p>
      <w:r>
        <w:rPr>
          <w:b/>
        </w:rPr>
        <w:t xml:space="preserve">Quelle: </w:t>
      </w:r>
      <w:r>
        <w:t>https://mcp.opencaselaw.ch/entscheid/vd_omni_AC.2022.0040</w:t>
      </w:r>
    </w:p>
    <w:p>
      <w:r>
        <w:t>FR: VD_OMNI AC.2022.0040 du 22 septembre 2023</w:t>
      </w:r>
    </w:p>
    <w:p>
      <w:r>
        <w:t>IT: VD_OMNI AC.2022.0040 del 22 settembre 2023</w:t>
      </w:r>
    </w:p>
    <w:p>
      <w:pPr>
        <w:pStyle w:val="Heading2"/>
      </w:pPr>
      <w:r>
        <w:t>Regeste</w:t>
      </w:r>
    </w:p>
    <w:p>
      <w:r>
        <w:t>A.________, B.________/Département des institutions, du territoire et du sport (DITS), Conseil général de la Commune de Tévenon | Recours contre l'adoption et l'approbation du nouveau PACom de Tévenon formé par deux copropriétaires d'une parcelle, jusqu'alors colloquée en zone du village, qui contestent sa nouvelle affectation en zone d'habitation de très faible densité. - Au vu du surdimensionnement important, dont une partie reste même incompressible, de la zone à bâtir de la commune de Tévenon, dont cette zone est en outre très morcelée et le centre lui-même peu densément bâti, il se justifie de limiter les droits à bâtir de certaines parcelles, telles celle des recourants, en les transférant, pour autant que leur situation au sein de la localité et leurs caractéristiques le permettent, dans un autre type de zone constructible, manière de faire également admise à certaines conditions par la jurisprudence pour réduire le surdimensionnement de la zone à bâtir (consid. 3b/bb). - La planification doit se faire non pas parcelle par parcelle, mais en fonction de la cohérence de l’ensemble d’un périmètre, qui doit à son tour s’intégrer dans la planification locale (consid. 3b/cc). L'appréciation telle qu’effectuée par les autorités intimées procède en conséquence d’une pesée complète de l’ensemble des intérêts pertinents et respecte la garantie de la propriété des recourants (consid. 3d). Recours rejeté.</w:t>
      </w:r>
    </w:p>
    <w:p>
      <w:pPr>
        <w:pStyle w:val="Heading2"/>
      </w:pPr>
      <w:r>
        <w:t>Erwägungen</w:t>
      </w:r>
    </w:p>
    <w:p>
      <w:r>
        <w:rPr>
          <w:b/>
        </w:rPr>
        <w:t>E. 1</w:t>
      </w:r>
    </w:p>
    <w:p>
      <w:r>
        <w:t>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Selon la jurisprudence, le libre pouvoir d’examen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AC.2021.0003 du 11 janvier 2023 consid. 4a; AC.2020.0353 du 22 novembre 2022 consid. 4a)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(arrêt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(AC.2021.0003 du 11 janvier 2023 consid. 4a; AC.2020.0353 du 22 novembre 2022 consid. 4a, et les références citées).</w:t>
      </w:r>
    </w:p>
    <w:p>
      <w:r>
        <w:rPr>
          <w:b/>
        </w:rPr>
        <w:t>E. 2</w:t>
      </w:r>
    </w:p>
    <w:p>
      <w:r>
        <w:t>Les zones à bâtir surdimensionnées doivent être réduites.</w:t>
      </w:r>
    </w:p>
    <w:p>
      <w:r>
        <w:rPr>
          <w:b/>
        </w:rPr>
        <w:t>E. 3</w:t>
      </w:r>
    </w:p>
    <w:p>
      <w:r>
        <w:t>L’emplacement et la dimension des zones à bâtir doivent être coordonnées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La Confédération et les cantons élaborent ensemble des directives techniques relatives au classement de terrains en zone à bâtir, notamment à la manière de calculer la surface répondant aux besoins ". b) aa)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cf. aussi AC.2022.0012 du 15 décembre 2022 consid. 3c). Les autorités chargées de l'aménagement du territoire, dans le canton de Vaud, ont ainsi défini dans le PDCn un cadre ou processus pour répondre aux exigences de l'art. 15 LAT, étant donné que la plupart des communes ont des zones à bâtir surdimensionnées. C'est l'objet de la mesure A11, mais le détail de la méthode à appliquer par les communes pour dimensionner correctement leurs zones à bâtir à vocation d'habitation figure dans des fiches d'application du SDT ou de la DGTL, qui complètent en quelque sorte le PDCn (cf. AC.2022.0122 du 15 février 2023 consid. 3a/aa; AC.2019.0012, AC.2018.0443, AC.2019.0013, AC.2019.0014 du 23 décembre 2020 consid. 2a, avec la référence au rapport d'examen de l'Office fédéral du développement territorial ARE relatif à la 4 e adaptation du PDCn, janvier 2018 [sur le site www.are.admin.ch], p. 24). La mesure A11 du PDCn ("Zones d'habitation et mixtes") indique en introduction notamment ce qui suit: " Problématique […] Les communes définissent leur croissance démographique dans les limites fixées par la présente mesure, selon la typologie du projet de territoire et les perspectives démographiques établies par Statistique Vaud. En 2015, hors des centres, les réserves sont le plus souvent excédentaires. Dans les centres, en tenant compte de l'ensemble des projets des communes, le potentiel est souvent également supérieur aux besoins à 15 ans et nécessite donc une priorisation ". La mesure proprement dite contient en particulier ce qui suit: "Les communes évaluent, avant de soumettre au Canton tout plan d'affectation, la nécessité de redimensionner leurs zones à bâtir en vérifiant l'adéquation entre leur capacité d'accueil en habitants et la croissance démographique projetée, limitée par type d'espace du projet de territoire cantonal selon le tableau suivant: Périmètre compact d'agglomération et de centre cantonal [...] Périmètre des centres régionaux [...] Périmètre des centres locaux [...] Périmètre des localités à densifier [...] Villages et quartiers hors centre: croissance annuelle maximale: 0.75% de la population 2015. [...]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 • la qualité de la desserte en transports publics ; • l'accès en mobilité douce aux services et équipements ; • la qualité des sols et les ressources, dont les surfaces d'assolement ; • l'environnement, notamment la nature, le paysage, et la maîtrise d'éventuels risques et nuisances ; • la capacité des équipements et des infrastructures ; • la possibilité d'équiper à un coût proportionné ; • la disponibilité des terrains. Pour répondre aux besoins à 15 ans, les communes, dans l’ordre : 1.    réaffectent les terrains excédant les besoins ou peu adéquats au développement ; 2.    densifient le territoire urbanisé ; 3.    mettent en valeur les réserves et les friches, notamment par la densification. L’extension de la zone à bâtir n’est admise que lorsque la capacité découlant des trois points précédents est insuffisante pour répondre aux besoins à 15 ans. [...] La mise à jour des plans d’affectation doit garantir une densification des zones à bâtir. [...] " . Le PDCn fixe ainsi l'année de référence à 2015 (à savoir en nombre d'habitants au 31 décembre 2015) et arrête l'horizon de planification à 2036.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(cf. AC.2022.0012 du 15 décembre 2022 consid. 3c; AC.2021.0187 du 9 juin 2022 consid. 2b/bb, et les références citées). bb) Le SDT (actuellement: la DGTL) a publié plusieurs fiches d'application en vue de la mise en œuvre de la mesure A11 du PDCn. La fiche d'application (version de juin 2021) intitulée "Comment traiter les zones à bâtir d'habitation et mixtes excédant les besoins à 15 ans ou peu adéquates pour le développement" (sur le site internet www.vd.ch, rubrique: Territoire et construction &gt; Aménagement du territoire &gt; Plan d'affectation communal) définit la stratégie de redimensionnement suivante: " • Dézoner toutes les franges de la zone à bâtir en zone agricole. [...] ; • Traiter les petites zones à bâtir isolées (noyaux bâtis comprenant entre 1 et 10 bâtiments) ,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 ;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 Assurer la disponibilité des terrains libres de construction sur le territoire communal et, le cas échéant, affecter les parcelles concernées en conformité avec leur usage futur. […] "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3.    LES PRINCIPES RELATIFS A LA DENSITE En cas de surdimensionnement, il n’est pas permis d’augmenter la densité d’une zone à bâtir, même au cœur de la localité. De même, il n’est pas autorisé de réduire les indices d’une zone à bâtir légalisée pour en réduire le potentiel d’accueil en habitants. […] ". La fiche d'application précitée prévoit une première phase dans le processus de révision du plan général d'affectation, à savoir la délimitation du territoire urbanisé et des noyaux largement bâtis. La notion de "territoire urbanisé" est définie dans une autre fiche d'application de la DGTL ("Comment délimiter le territoire urbanisé", version de février 2019), donnant notamment les explications suivantes: " Le territoire urbanisé est une donnée de base nécessaire pour cadrer le développement de l'urbanisation. Il comprend les territoires largement bâtis situés en zone à bâtir formant le cœur d'une localité, y compris les terrains non bâtis à vocation urbaine. Une fois tracé, le territoire urbanisé permet de distinguer les zones à bâtir à densifier de celles qui ne doivent pas l'être. [...] ". c) Selon la jurisprudence, la réduction des zones à bâtir surdimensionnées constitue un intérêt public important (cf. ATF 144 II 41 consid. 5.2 p. 45; cf. aussi arrêts TF 1C_190/2020 du 9 février 2021 consid. 2.2.2, et les références citées; 1C_522/2019 du 1 er mai 2020 consid. 4.6.1; 1C_387/2016 du 1er mai 2017 consid. 4.4). Si la densification des zones à bâtir souhaitée par le PDCn répond également à l'intérêt public d'une utilisation mesurée du sol ( art. 1 al. 1 LAT ; ATF 137 II 23 consid. 4.3 p. 27, et les arrêts cités) et à la création d'un milieu bâti compact (art. 1 al. 2 let. b et 3 al. 3 let. a bis LAT), la protection du paysage correspond elle aussi à un principe important de l’aménagement du territoire consacré par l’art. 3 al. 2 LAT (arrêt TF 1C_630/2015 du 15 septembre 2016 consid. 7.2). Le choix des parcelles concernées par le redimensionnement de la zone à bâtir relève dans une large mesure du pouvoir d’appréciation des autorités locales de planification (cf. art. 2 al. 3 LAT et art. 2 et 3 OAT; cf. ATF 144 II 41 consid. 5.2, et les références citées). Selon la jurisprudence, la planification doit se faire non pas parcelle par parcelle, mais en fonction de la cohérence de l'ensemble d'un périmètre qui doit à son tour s'intégrer dans la planification locale, voire régionale, excluant ainsi une appréciation isolée des qualités d'un plan (ATF 122 II 326 consid. 5b p. 330/331, et les arrêts cités; cf. aussi arrêt TF 1C_386/2007, 1C_388/2007 du 15 avril 2008 consid. 4.5, et les références de doctrine citées). Dans la cadre de l’adoption d’une zone réservée, le Tribunal fédéral a également jugé que c’était la situation de tout le secteur, et non la situation de la parcelle au sein de ce secteur, qui apparaissait décisive pour décider de l’affectation en zone réservée (cf. arrêt TF 1C_695/2021 du 4 novembre 2022 consid. 3.2.2). Les zones à bâtir peuvent être subdivisées selon le type et l’intensité de leur utilisation. Leur désignation se distingue, dès lors, en fonction de ces subdivisions et de la législation cantonale. Un mélange non planifié de constructions et d’utilisations de tout type (immeubles d’habitation, bâtiments industriels, centres commerciaux, etc.) irait à l’encontre des exigences d’un urbanisme et d’un habitat de qualité. Il serait en outre incompatible tant avec l’impératif d’une bonne intégration des constructions dans leur environnement qu’avec une utilisation mesurée du sol (art. 1 al. 1, art. 3 al. 3 LAT) et avec les prescriptions du droit de l’environnement. Il n’est pas pour autant souhaitable de subdiviser les zones de manière trop stricte; en particulier aujourd’hui où les places de travail génèrent moins de bruit et de charges pour l’environnement qu’autrefois. Un mélange cohérent entre logements, places de travail, commerces et une diversité de services augmente la qualité de l’habitat et de l’urbanisme (Heinz Aemisegger/Samuel Kissling, Commentaire pratique LAT: Planifier l’affectation, Genève, Zurich, Bâle 2016, n° 12 ad art. 15 LAT). d) Le surdimensionnement de la zone à bâtir de la commune de Tévenon n’est en l’occurrence pas contestable. Les possibilités de développement accordées à la commune, village hors centre selon le PDCn, s’élèvent à 128 habitants au 31 décembre 2015. A cette même date, la population de référence était de 811 habitants, étant ensuite de 843 habitants au 31 décembre 2017. Or, selon l’estimation des réserves constructibles générée automatiquement par le guichet de simulation pour le dimensionnement de la zone à bâtir, la capacité d’accueil des réserves en zone à bâtir au 31 décembre 2017 s’élève à 804 habitants, alors même que les besoins en zone à bâtir sont de 96 habitants à cette même date. Par conséquent, la commune dispose de réserves largement surdimensionnées en zone à bâtir. Le dossier de nouveau PACom a d’ailleurs été adopté, respectivement approuvé, alors même que la commune disposera avec la nouvelle réglementation d’un surdimensionnement incompressible, comprenant une capacité d’accueil en zone à bâtir supérieure de 218 habitants aux besoins en zone à bâtir de 96 habitants. 3. Actuellement affecté à la zone du village, le bien-fonds des recourants, tout en étant maintenu en zone à bâtir, est colloqué en zone d’habitation de très faible densité 15 LAT dans le nouveau PACom. Les intéressés concluent cependant au maintien de leur parcelle en zone centrale 15 LAT, subsidiairement à son affectation en zone d’habitation de faible densité 15 LAT. a) Selon l’art. 4.1 al. 1 RPACom, la zone centrale 15 LAT est destinée à l’habitat, aux exploitations agricoles, aux constructions d’utilité publique ainsi qu’aux activités moyennement gênantes et aux commerces compatibles avec la zone. L’art. 4.3 al. 1 RPACom prévoit que, pour les nouvelles constructions et les reconstructions, l’indice d’utilisation du sol (IUS) sera au maximum de 0.50 et l’art. 4.4 al. 1 RPACom limite la hauteur des constructions à 9 m à la corniche. Conformément à l’art. 4.6 al. 1 RPACom, partout où la contiguïté existe, elle doit être maintenue. L’art. 4.12 al. 1 RPACom précise que tout projet doit présenter une cohérence d’ensemble et une qualité intrinsèque et qu’il doit aussi respecter le caractère du lieu et les proportions des constructions villageoises traditionnelles. Conformément à l’art. 5.1 al. 1 RPACom, la zone d’habitation de faible densité 15 LAT est destinée à l’habitation de faible densité ainsi qu’aux activités non gênantes (bruits, odeurs, fumées, trafic, etc.) compatibles avec l’habitat. L’art. 5.3 al. 1 RPACom prévoit que l’IUS sera au maximum de 0.45 et l’art. 5.4 al. 1 RPACom limite la hauteur des constructions à 7 m 50 à la corniche. Selon l’art. 5.6 al. 1 RPACom, l’ordre non-contigu est obligatoire. Aux termes de l’art. 6.1 al. 1 RPACom, la zone d’habitation de très faible densité 15 LAT est destinée à l’habitation de très faible densité ainsi qu’aux activités non gênantes (bruits, odeurs, fumées, trafic, etc.) compatibles avec l’habitat. L’art. 6.3 al. 1 RPACom prévoit que l’IUS sera au maximum de 0.25 et l’art. 6.4 al. 1 RPACom limite la hauteur des constructions à 8 m 50 au faîte. Selon l’art. 6.6 al. 1 RPACom, l’ordre non-contigu est obligatoire. b) aa) Les recourants font tout d’abord valoir que l’affectation de leur parcelle en zone d’habitation de très faible densité plutôt qu’en zone centrale serait contraire aux principes selon lesquels il convient d’orienter le développement de l’urbanisation vers l’intérieur du milieu bâti (cf. art. 1 al. 2 let. a bis LAT) et d’assurer les objectifs de densification poursuivis par l’art. 3 al. 3 let. a bis LAT. Le sud de leur bien-fonds, vide de toute construction, mettrait en évidence un manque de bâti compact, alors qu’il conviendrait d’optimiser le potentiel de parcelles partiellement construites, telles que la leur. Celle-ci, située à proximité de l’arrêt du car postal, du battoir communal, du seul restaurant du village, de l’église et du bâtiment communal qui abritait auparavant une école, ainsi que du seul magasin du village, serait idéalement centrée dans le village. La commune explique s’être fondée sur le périmètre 1 de l’ISOS, identifié comme le noyau d’origine de l’agglomération, ainsi que sur le périmètre 2, qui comprend des anciennes fermes et ruraux d’origine, pour établir la zone centrale, ainsi définie sur ces secteurs et le long de leurs abords directs. Or, la parcelle n° 665 ne se trouve pas dans ce périmètre du centre historique du village, ce que l’on peut effectivement constater sur la base des différents éléments du dossier. L’inspection locale a plus particulièrement permis de relever que le bien-fonds litigieux est situé au sud de la zone centrale et à l’ouest de l’église et du bâtiment communal qui abritait auparavant l’école du village, et non pas au sein-même de la zone centrale. Celle-ci, à quelques exceptions près, longe la route principale, au bord de laquelle n’est en revanche pas sise la parcelle des recourants, qui se trouve de plus à environ 400 m, soit à une certaine distance, à vol d’oiseau de la salle du Battoir communale. La parcelle litigieuse est par ailleurs bordée au sud par un chemin, puis par une vaste zone agricole; elle ne se trouve de la sorte que sur les abords du territoire bâti de la localité et à proximité de la zone agricole. Comme cela a pu être constaté lors de la vision locale, la zone centrale est certes peu dense et Villars-Burquin constitue un village étalé et qui ne comporte pas vraiment de tissu bâti. Le secteur où se situe la parcelle des recourants, qui est également peu densément bâti, se distingue toutefois de la zone centrale justement par le fait qu’il est en dehors du périmètre délimité par l’ISOS, déterminant pour la fixation de la zone centrale, qui se trouve en outre à flanc de coteau sur le même niveau, en balcon, pour une grande partie. La densification des zones à bâtir constitue certes un intérêt public important. Une telle densification doit cependant s’effectuer en maintenant une qualité de l’habitat appropriée (cf. art. 1 al. 2 let. a bis LAT) et, selon le PDCn, doit être adaptée au contexte, qui est ici particulier, s’agissant de la localité de Villars-Burquin. Personne ne conteste en effet que la commune est largement surdimensionnée. Elle bénéficie même d’un surdimensionnement incompressible de 218 habitants. Or, au vu des caractéristiques du village, dont la zone à bâtir est très morcelée et le centre lui-même peu densément bâti, il est impossible d’envisager colloquer hors de la zone à bâtir toutes les parcelles ou parties de parcelles situées en zone à bâtir pour limiter un tel surdimensionnement, seuls des secteurs non bâtis suffisamment vastes étant susceptibles d’être dézonés de manière à diminuer le surdimensionnement de la commune. A l’inverse, les vides que comporte la zone à bâtir ne peuvent être systématiquement comblés, auquel cas la commune devrait faire face à un surdimensionnement incompressible encore plus important. Il se justifie dans ces conditions de limiter les droits à bâtir de certaines parcelles, telles celle des recourants, en les transférant, pour autant que leur situation au sein de la localité et leurs caractéristiques le permettent, dans un autre type de zone constructible, manière de faire également admise à certaines conditions par la jurisprudence pour réduire le surdimensionnement de la zone à bâtir (cf. arrêts AC.2021.0187 du 9 juin 2022 consid. 3b in fine ; AC.2018.0201 du 28 juin 2019 consid. 3c). bb) Les recourants contestent ensuite le critère utilisé par les autorités intimées selon lequel le secteur dans lequel est sise leur parcelle comprendrait des bâtiments dont la typologie est similaire à celle de la zone d’habitation de très faible densité. Dans cette zone, leur maison dérogerait à la nouvelle image de ce type de zone et serait différente du paysage dans lequel elle s’insère, qui serait constitué de constructions à très basse densité. L’inspection locale a toutefois permis de constater que la typologie du bâtiment sis sur le bien-fonds des intéressés correspond davantage à celle d’une villa qu’à un bâtiment dans l’esprit villageois. Les recourants reconnaissent par ailleurs que les maisons existantes situées à l’est de leur propriété sont trois villas jumelles, de style vaudois. Au nord de ces dernières, et ainsi que permet de le constater le PACom, se trouvent également des bâtiments de type villas. La typologie des constructions existantes dans le secteur dans lequel se trouve la parcelle des intéressés est donc similaire à celle prévue par la règlementation relative à la zone d’habitation de très faible densité. Contrairement à ce que suggèrent les recourants, il ne serait ainsi pas plus logique, au contraire, de colloquer en zone centrale les parcelles sur lesquelles sont sises leur maison et les trois villas mitoyennes précitées, situées le long du chemin de l’Eglise. Le fait que la maison des intéressés puisse ne pas tout à fait correspondre à une construction de type villa n’est pas non plus déterminant. Conformément à la jurisprudence, et comme le soutiennent les autorités intimées, la planification doit se faire non pas parcelle par parcelle, mais en fonction de la cohérence de l’ensemble d’un périmètre, qui doit à son tour s’intégrer dans la planification locale; il s’agit de définir des affectations homogènes par ensemble. Une telle nécessité explique également pourquoi, soit pour des raisons de cohérence et de continuité, la zone centrale telle que définie dans le PACom comporte des parcelles sur lesquelles sont érigés des bâtiments qui correspondent pour certains d’entre eux à ceux de la zone d’habitation de très faible densité. cc) Compte tenu de l’ensemble des éléments qui précèdent, l’on ne voit pas non plus que la parcelle des recourants, comme ceux-ci le suggèrent, puisse être affectée à la zone d’habitation de faible densité. dd) L’on peut encore relever que les recourants, propriétaires de la parcelle litigieuse depuis 1992, ont disposé de longues années pour bénéficier des possibilités de construire que leur offraient les PZ et RPEPC de Villars-Burquin et ainsi valoriser leur terrain, ce qu’ils n’ont pas fait. Vouloir permettre, comme ils l’indiquent, à l’un de leurs cinq enfants de bâtir une maison dans la partie sud du bien-fonds n’est à cet égard pas déterminant. Il n’en demeure pas moins que pendant plus de trente ans, ils ont thésaurisé une partie de leur terrain. Le bien-fonds litigieux est enfin certes affecté à une zone qui a un faible indice d’utilisation du sol. Il n’en demeure pas moins qu’il est maintenu en zone à bâtir et non pas dézoné, au contraire de nombreuses autres parcelles sises dans la même commune. c) Au vu des éléments qui précèdent, le tribunal ne voit pas de raisons de remettre en cause l’affectation du bien-fonds des recourants en zone d’habitation de très faible densité telle qu’effectuée par les autorités intimées, sachant en particulier que le choix des parcelles concernées par le redimensionnement de la zone à bâtir relève dans une large mesure du pouvoir d’appréciation des autorités locales de planification. Cette appréciation procède d’une pesée complète de l’ensemble des intérêts pertinents et respecte la garantie de la propriété des recourants. 4. Vu les considérants qui précèdent, le recours doit être rejeté et les décisions attaquées confirmées. Compte tenu de l’issue de la cause, des frais seront mis à la charge des recourants (art. 49, 91 et 99 de la loi vaudoise du 28 octobre 2008 sur la procédure administrative [LPA-VD; BLV 173.36]), qui verseront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