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AC.2021.0348 vom 15. Dezember 2022</w:t>
      </w:r>
    </w:p>
    <w:p>
      <w:r>
        <w:t>VD Tribunal cantonal, 2022-12-15, FR</w:t>
      </w:r>
    </w:p>
    <w:p>
      <w:r>
        <w:rPr>
          <w:b/>
        </w:rPr>
        <w:t xml:space="preserve">Quelle: </w:t>
      </w:r>
      <w:r>
        <w:t>https://mcp.opencaselaw.ch/entscheid/vd_omni_AC.2021.0348</w:t>
      </w:r>
    </w:p>
    <w:p>
      <w:r>
        <w:t>FR: VD_OMNI AC.2021.0348 du 15 décembre 2022</w:t>
      </w:r>
    </w:p>
    <w:p>
      <w:r>
        <w:t>IT: VD_OMNI AC.2021.0348 del 15 dicembre 2022</w:t>
      </w:r>
    </w:p>
    <w:p>
      <w:pPr>
        <w:pStyle w:val="Heading2"/>
      </w:pPr>
      <w:r>
        <w:t>Regeste</w:t>
      </w:r>
    </w:p>
    <w:p>
      <w:r>
        <w:t>A.________/Municipalité de Commugny | Recours contre la décision de la municipalité refusant au recourant le permis de construire notamment une extension semi-enterrée, un parking souterrain et un nouvel accès pour voitures comportant une rampe d'accès au parking souterrain qui longe une route communale. - Au vu de son ampleur et de sa configuration ainsi que du fait qu'il constitue un élément constructif intégré dans le bâtiment d'habitation, l'accès au garage souterrain dans son ensemble ne peut être qualifié d'aménagement extérieur au sens de l'art. 39 LRou, comme le prétend le recourant (consid. 1). - Le nouvel accès projeté ne répond par ailleurs pas aux exigences de sécurité routière et ne peut de ce fait être autorisé (consid. 2). Recours rejeté.</w:t>
      </w:r>
    </w:p>
    <w:p>
      <w:pPr>
        <w:pStyle w:val="Heading2"/>
      </w:pPr>
      <w:r>
        <w:t>Erwägungen</w:t>
      </w:r>
    </w:p>
    <w:p>
      <w:r>
        <w:rPr>
          <w:b/>
        </w:rPr>
        <w:t>E. 1</w:t>
      </w:r>
    </w:p>
    <w:p>
      <w:r>
        <w:t>A défaut de plan fixant la limite des constructions et sous réserve de l'alinéa 4, les distances minima à observer, lors de la construction de tout bâtiment ou annexe de bâtiment, sont les suivantes: […] c. pour les autres routes cantonales secondaires, les routes de berges et les routes communales de 2e classe, 10 mètres hors des localités et 7 mètres à l'intérieur des localités; […]</w:t>
      </w:r>
    </w:p>
    <w:p>
      <w:r>
        <w:rPr>
          <w:b/>
        </w:rPr>
        <w:t>E. 2</w:t>
      </w:r>
    </w:p>
    <w:p>
      <w:r>
        <w:t>La distance est calculée par rapport à l'axe de la chaussée, délimitée par les voies de circulation principales. […] " . L'art. 37 al. 1 LRou introduit un régime particulier pour les constructions souterraines et les dépendances de peu d'importance; il a la teneur suivante: " 1 A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w:t>
      </w:r>
    </w:p>
    <w:p>
      <w:r>
        <w:rPr>
          <w:b/>
        </w:rPr>
        <w:t>E. 3</w:t>
      </w:r>
    </w:p>
    <w:p>
      <w:r>
        <w:t>Le recourant a sollicité la tenue d’une inspection locale. a) Le droit d’être entendu, tel qu'il est garanti à l'art. 29 al. 2 Cst. et 27 al. 2 Cst-VD,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p. 170 s.; 142 III 48 consid. 4.1.1 p. 52 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p. 170 s., et les arrêts cités; cf. aussi arrêts TF 1C_638/2020 du 17 juin 2021 consid. 2.1; 1C_576/2020 du 1 er avril 2021 consid. 3.1). b) Le recourant a, au vu de l’importance décisive que semblerait revêtir la configuration des lieux pour apprécier la question de la sécurité du trafic et des usagers de la route, requis la fixation d’une inspection locale. La Cour est toutefois en mesure de se faire une idée complète et précise des faits pertinents et traiter en toute connaissance de cause les moyens soulevés en lien avec la sécurité routière, conformément au considérant qui précède, sur la base des pièces figurant au dossier. Ce dernier contient en particulier des photographies des alentours, de nombreux plans, dont ceux mis à l’enquête publique, les interventions de divers spécialistes et autorités sur la question de la sécurité du trafic en lien avec le nouvel accès projeté, de même que les plans d’évaluation des visibilités en sortie de l’accès prévu produits par le recourant lui-même en annexe à la note technique du 26 août 2022. Pour le surplus, le recourant a pu faire valoir en détail ses arguments sur le point litigieux lors de l'échange d'écritures intervenu dans la présente procédure. Compte tenu de l’ensemble de ces éléments, il y a lieu, par appréciation anticipée des preuves, de rejeter la requête tendant à la tenue d’une inspection locale déposée par le recourant.</w:t>
      </w:r>
    </w:p>
    <w:p>
      <w:r>
        <w:rPr>
          <w:b/>
        </w:rPr>
        <w:t>E. 4</w:t>
      </w:r>
    </w:p>
    <w:p>
      <w:r>
        <w:t>Dès lors que la décision attaquée doit être confirmée pour les motifs qui précèdent, point n'est besoin d'examiner les autres griefs soulevés par le recourant contre le refus de la municipalité de lui délivrer le permis de construire requis.</w:t>
      </w:r>
    </w:p>
    <w:p>
      <w:r>
        <w:rPr>
          <w:b/>
        </w:rPr>
        <w:t>E. 5</w:t>
      </w:r>
    </w:p>
    <w:p>
      <w:r>
        <w:t>Vu les considérants qui précèdent, le recours doit être rejeté et la décision attaquée confirmée. Compte tenu de l’issue de la cause, des frais seront mis à la charge du recourant (cf. art. 49, 91 et 99 de la loi vaudoise du 28 octobre 2008 sur la procédure administrative [ LPA-VD; BLV 173.36] ), qui versera en outre des dépens à l’autorité intimée qui obtient gain de cause par l’intermédiaire d’un mandataire professionnel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