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AC.2021.0339 vom 13. Oktober 2022</w:t>
      </w:r>
    </w:p>
    <w:p>
      <w:r>
        <w:t>VD Tribunal cantonal, 2022-10-13, FR</w:t>
      </w:r>
    </w:p>
    <w:p>
      <w:r>
        <w:rPr>
          <w:b/>
        </w:rPr>
        <w:t xml:space="preserve">Quelle: </w:t>
      </w:r>
      <w:r>
        <w:t>https://mcp.opencaselaw.ch/entscheid/vd_omni_AC.2021.0339</w:t>
      </w:r>
    </w:p>
    <w:p>
      <w:r>
        <w:t>FR: VD_OMNI AC.2021.0339 du 13 octobre 2022</w:t>
      </w:r>
    </w:p>
    <w:p>
      <w:r>
        <w:t>IT: VD_OMNI AC.2021.0339 del 13 ottobre 2022</w:t>
      </w:r>
    </w:p>
    <w:p>
      <w:pPr>
        <w:pStyle w:val="Heading2"/>
      </w:pPr>
      <w:r>
        <w:t>Regeste</w:t>
      </w:r>
    </w:p>
    <w:p>
      <w:r>
        <w:t>A.________/Municipalité de Montreux, B.________, C.________, D.________, E.________, F.________, G.________, H.________, I.________, J.________, Direction générale du territoire et du logement | Recours contre la décision de la municipalité refusant à la recourante le permis de construire un bâtiment d'habitation, décision rendue à la suite d'un arrêt du Tribunal cantonal (AC.2019.0390) admettant le recours d'opposants contre une première décision municipale octroyant à la recourante le permis de construire requis et renvoyant le dossier à la municipalité pour nouvel examen. - L'arrêt de renvoi du Tribunal cantonal lie tant ce dernier que les parties. La recourante ne peut ainsi pas invoquer, à l'appui de son nouveau recours, le PGA 2007 de Montreux dont le Tribunal cantonal avait rejeté la prise en compte dans son arrêt de renvoi, plan d'affectation par ailleurs entièrement annulé par le Tribunal fédéral (consid. 1). - Quelle que soit la réglementation applicable, que ce soit le RPGA de 1972 de Montreux, les règles de l'art. 135 al. 2 LATC ou celles de l'art. 135 al. 3 LATC, voire le projet communal de Plan des zones réservées et de celui de son règlement, le projet de construction de la recourante ne pourrait être autorisé, n'étant conforme à aucune des ces règlementations (consid. 2 à 4). Recours rejeté. Recours au TF rejeté dans la mesure où il est recevable (arrêt 1C_596/2022 du 12 sptembre 2023).</w:t>
      </w:r>
    </w:p>
    <w:p>
      <w:pPr>
        <w:pStyle w:val="Heading2"/>
      </w:pPr>
      <w:r>
        <w:t>Erwägungen</w:t>
      </w:r>
    </w:p>
    <w:p>
      <w:r>
        <w:rPr>
          <w:b/>
        </w:rPr>
        <w:t>E. 1</w:t>
      </w:r>
    </w:p>
    <w:p>
      <w:r>
        <w:t>La présente cause porte sur un recours interjeté contre  une décision municipale rendue à la suite d’un arrêt de renvoi de la Cour de céans. a) En cas de renvoi pour nouvelle décision (cf. art. 90 de la loi vaudoise du 28 octobre 2008 sur la procédure administrative [LPA-VD; BLV 173.36] [par renvoi de l'art. 99 LPA-VD]), le pouvoir de cognition de l'autorité inférieure est limité par le dispositif et les motifs de l’arrêt de renvoi, en ce sens qu’elle est liée par ce qui a déjà été jugé définitivement par l’autorité supérieure. Les considérants de l’arrêt retournant la cause lient l’autorité, les parties, ainsi qu'en cas de nouveau recours, le Tribunal. Le juge voit donc son pouvoir de cognition limité par les motifs de l'arrêt de renvoi et il est lié par ce qui a été déjà tranché définitivement et par les constatations de fait qui n'ont pas été attaquées devant lui ou l'ont été sans succès. La motivation de l'arrêt de renvoi détermine aussi bien le cadre du nouvel état de fait que celui de la nouvelle motivation juridique. Pour sa part, le recourant ne peut plus faire valoir dans un recours contre la nouvelle décision des moyens qui avaient été rejetés ou admis dans l’arrêt de renvoi ou qu'il aurait pu et dû faire valoir au stade de son précédent recours (ATF 135 III 334 consid. 2; 133 III 201 consid. 4.2; 131 III 93 consid. 5.2; 125 III 421 consid 2a; cf. aussi arrêts TF 1C_296/2020 du 8 juillet 2021 consid. 3.1; 2D_33/2019 du 25 mars 2020 consid. 1.4; CDAP PS.2022.0032 du</w:t>
      </w:r>
    </w:p>
    <w:p>
      <w:r>
        <w:rPr>
          <w:b/>
        </w:rPr>
        <w:t>E. 3</w:t>
      </w:r>
    </w:p>
    <w:p>
      <w:r>
        <w:t>Le territoire hors du périmètre d'une localité est dit territoire agricole. Seules les constructions suivantes y sont autorisées, sans limitation de hauteur ou de longueur, la distance à la limite de propriété voisine ne pouvant toutefois être inférieure à trois mètres : a. les constructions en rapport avec la culture, l'exploitation du sol et l'élevage; b. les constructions d'habitation de l'exploitant, de sa famille et de son personnel; c. les constructions et les installations d'intérêt public ou indispensables à un service public.</w:t>
      </w:r>
    </w:p>
    <w:p>
      <w:r>
        <w:rPr>
          <w:b/>
        </w:rPr>
        <w:t>E. 4</w:t>
      </w:r>
    </w:p>
    <w:p>
      <w:r>
        <w:t>Les démolitions-reconstructions volontaires et accidentelles des bâtiments existants sont autorisées dans les limites de l’article 80 LATC.</w:t>
      </w:r>
    </w:p>
    <w:p>
      <w:r>
        <w:rPr>
          <w:b/>
        </w:rPr>
        <w:t>E. 5</w:t>
      </w:r>
    </w:p>
    <w:p>
      <w:r>
        <w:t>L’occupation à des fins d’habitation ou d’activités de locaux existants actuellement non-habitables, mais situés dans un volume existant, est autorisée, sous réserve des conditions habituelles de salubrité (art. 25 ss. RLATC).</w:t>
      </w:r>
    </w:p>
    <w:p>
      <w:r>
        <w:rPr>
          <w:b/>
        </w:rPr>
        <w:t>E. 6</w:t>
      </w:r>
    </w:p>
    <w:p>
      <w:r>
        <w:t>La changement d’affectation de locaux d’activités et commerces en logement est interdit.</w:t>
      </w:r>
    </w:p>
    <w:p>
      <w:r>
        <w:rPr>
          <w:b/>
        </w:rPr>
        <w:t>E. 7</w:t>
      </w:r>
    </w:p>
    <w:p>
      <w:r>
        <w:t>Aucune surface en nature de vigne ou de pré-champ ne peut faire l’objet d’aménagement " . Quant à l’art. 3 pRZR, applicable à tous les types de zones réservées, il prévoit en particulier ce qui suit: " 1 Les constructions nouvelles sont interdites dans les zones réservées, à l’exception des dépendances de peu d’importance au sens de l’article 39 RLATC. Les piscines extérieures sont assimilées à des dépendances. 2 Seules les constructions nouvelles destinées à satisfaire des besoins d’utilité publique peuvent faire exception au régime instauré par les zones réservées. La Municipalité appréciera le bien-fondé de la vocation d’utilité publique du programme de la construction projetée, ainsi que les surfaces et volumes proposés du projet par rapport aux besoins d’utilité publique à satisfaire. Les logements d’utilité publique au sens de l’article 27 LPPPL ne répondent pas aux critères d’utilité publique du présent alinéa. (…) " . Pour rappel, le projet de la recourante porte sur la construction d’un immeuble de cinq logements avec deux garages intérieurs, au sud du bâtiment n° ECA 2122. S’agissant d’un projet portant sur la réalisation d’une construction nouvelle, dont la recourante ne prétend pas qu’elle constituerait une construction nouvelle destinée à satisfaire des besoins d’utilité publique au sens de l’art. 3 al. 2 pRZR, il n’est ainsi pas conforme au pRZR. c) Il ressort en conséquence de ce qui précède que, quelle que soit la règlementation applicable en l’occurrence, le projet de construction de la recourante, qui n’y est pas conforme, ne saurait être autorisé. Compte tenu du sort du litige, il n'est pas nécessaire d'examiner si d'autres prescriptions réglementaires ou légales s'opposeraient au projet de la recourante. 5. Vu les considérants qui précèdent, le recours doit être rejeté et la décision attaquée confirmée. Compte tenu de l’issue de la cause, des frais seront mis à la charge de la recourante (cf. art. 49, 91 et 99 LPA-VD), qui versera en outre des dépens aux opposants qui, obtenant gain de cause, ont procédé par l’intermédiaire d’un mandataire professionnel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