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AC.2021.0337 vom 3. Mai 2022</w:t>
      </w:r>
    </w:p>
    <w:p>
      <w:r>
        <w:t>VD Tribunal cantonal, 2022-05-03, FR</w:t>
      </w:r>
    </w:p>
    <w:p>
      <w:r>
        <w:rPr>
          <w:b/>
        </w:rPr>
        <w:t xml:space="preserve">Quelle: </w:t>
      </w:r>
      <w:r>
        <w:t>https://mcp.opencaselaw.ch/entscheid/vd_omni_AC.2021.0337</w:t>
      </w:r>
    </w:p>
    <w:p>
      <w:r>
        <w:t>FR: VD_OMNI AC.2021.0337 du 3 mai 2022</w:t>
      </w:r>
    </w:p>
    <w:p>
      <w:r>
        <w:t>IT: VD_OMNI AC.2021.0337 del 3 maggio 2022</w:t>
      </w:r>
    </w:p>
    <w:p>
      <w:pPr>
        <w:pStyle w:val="Heading2"/>
      </w:pPr>
      <w:r>
        <w:t>Regeste</w:t>
      </w:r>
    </w:p>
    <w:p>
      <w:r>
        <w:t>A.________/Municipalité de Perroy, B.________, Direction générale du territoire et du logement, Direction générale de l'agriculture, de la viticulture | Recours déclaré irrecevable faute de qualité pour recourir. La recourante est propriétaire de parcelles situées à plus de 300 m à vol d'oiseau du projet litigieux et ne pourra guère apercevoir celui-ci depuis ses biens bien-fonds, étant souligné que la parcelle de la constructrice et celles de la recourante sont séparées par l'autoroute A1.</w:t>
      </w:r>
    </w:p>
    <w:p>
      <w:pPr>
        <w:pStyle w:val="Heading2"/>
      </w:pPr>
      <w:r>
        <w:t>Erwägungen</w:t>
      </w:r>
    </w:p>
    <w:p>
      <w:r>
        <w:rPr>
          <w:b/>
        </w:rPr>
        <w:t>E. 1</w:t>
      </w:r>
    </w:p>
    <w:p>
      <w:r>
        <w:t>La Cour de droit administratif et public examine d'office et librement la recevabilité des recours qui lui sont soumis. a) La voie du recours de droit administratif, au sens des art. 92 ss de la loi vaudoise du 28 octobre 2008 sur la procédure administrative (LPA-VD; BLV 173.36), est ouverte contre une décision d'une municipalité délivrant un permis de construire conformément aux art. 103 ss de la loi du 4 décembre 1985 sur l'aménagement du territoire et les constructions (LATC; BLV 700.11). La qualité pour recourir est définie à l'art. 75 LPA-VD (par renvoi de l'art. 99 LPA-VD): elle est reconnue à toute personne physique ou morale ayant pris part à la procédure devant l'autorité précédente, qui est atteinte par la décision attaquée et qui dispose d'un intérêt digne de protection à ce qu'elle soit annulée ou modifiée (art. 75 let. a LPA-VD). Le critère de l'intérêt digne de protection à l'annulation de la décision attaquée est également prévu par la loi sur le Tribunal fédéral du 17 juin 2005 (LTF; RS 173.110), pour le recours en matière de droit public (art. 89 al. 1 let. c LTF), et il y a lieu d'appliquer ici la jurisprudence développée à ce propos (principe de l'unité de la procédure, cf. art. 111 al. 1 LTF). Ainsi, pour disposer de la qualité pour agir, il faut être touché dans une mesure et avec une intensité plus grande que la généralité des administrés.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idéale ou matérielle. Le recours d'un particulier formé dans l'intérêt de la loi ou d'un tiers est, en revanche, irrecevable. Ces exigences ont été posées de manière à empêcher l' "action populaire", lorsqu'un particulier conteste une autorisation donnée à un tiers (ATF 133 II 400 consid. 2.4.2 p. 406; 133 V 239 consid. 6.2 p. 242; 131 V 298 consid. 3 p. 300, et les arrêts cités). En matière de construction, le voisin a qualité pour agir lorsque son terrain jouxte celui du constructeur ou se trouve à proximité immédiate (ATF 135 II 145 consid. 6.2 p. 152; 133 II 409 consid. 1.3 p. 413) ou, même en l'absence de voisinage direct, quand une distance relativement faible sépare l'immeuble du recourant de l'installation litigieuse (ATF 121 II 171 consid. 2b p. 174). Lorsque le recourant est un voisin direct, l'intérêt qu'il invoque ne doit pas nécessairement correspondre à l'intérêt protégé par les normes dont il dénonce la violation. Il peut bien plutôt exiger le contrôle du projet de construction au regard de toutes les normes qui ont un effet juridique ou concret sur sa situation, de sorte que l'admission du recours lui procurerait un avantage pratique. Ainsi, le propriétaire d'un bien-fonds directement voisin, qui a formé opposition lors de l'enquête publique (conformément à l'exigence de la participation à la procédure devant l'autorité précédente), a en principe qualité pour recourir lorsqu'il critique notamment les effets de la construction projetée sur son immeuble (ATF 141 II 50 consid. 2.1 et les références citées; ATF 137 II 30 consid. 2.2 et les références citées; arrêt TF 1C_286/2016 du 13 janvier 2017). Selon la jurisprudence fédérale, une atteinte particulière est reconnue lorsqu'il faut notamment s'attendre avec certitude ou avec une grande vraisemblance à des immissions sur le fonds voisin en provenance de l'installation (ATF 140 II 214 consid. 2.3 et les références citées). Ces principes sont appliqués de manière constante par la jurisprudence cantonale (cf. AC.2021.0122 du 7 septembre 2021; AC.2021.0089 du 6 décembre 2021; AC.2020.0254 du 24 novembre 2020; AC.2018.0073 du 27 mars 2018; AC.2016.0445 du 29 novembre 2017). Le critère de la proximité géographique, ou du voisinage direct, est en principe réalisé quand la distance entre le terrain litigieux et l'immeuble du recourant n'est pas supérieure à 100 m. Lorsque la distance est plus importante, il faut que l'atteinte soit rendue plausible en fonction des données ou des circonstances concrètes, qui doivent faire l'objet d'une appréciation globale (ATF 140 II 214 consid. 2.3; cf. aussi Laurent Pfeiffer, La qualité pour recourir en droit de l'aménagement du territoire et de l'environnement, Genève 2013, p. 95-96, où l'auteur cite différents arrêts déniant la qualité pour recourir à des voisins situés à 300 m, 400 m, 600 m ou 800 m de l'installation litigieuse. L'auteur cite d'autres exemples, p. 98 ss, où la qualité pour recourir a été admise, dans des cas particuliers, pour de telles distances voire pour des distances plus importantes, par exemple pour des recourants dont les habitations étaient situées à 1 km d'un projet de gravière, dans la mesure où l'exploitation de celle-ci allait générer un trafic supplémentaire important sur une route dont ils étaient riverains ou encore pour des recourants habitant à 200, 350, 700 m et jusqu'à 1.3 km d'un projet de stand de tir, dans la mesure où les émissions sonores provoquées par de telles installations peuvent se répercuter dans un large rayon et sont clairement perceptibles, dans un environnement généralement tranquille car les stands de tir sont situés à l'écart des agglomérations). b) En l'occurrence, la recourante est propriétaire de deux parcelles situées à près de 325 m à vol d'oiseau du lieu devant accueillir le projet litigieux. L'autoroute A1 sépare les parcelles concernées. La recourante ne pourra guère apercevoir la nouvelle halle viticole depuis sa propriété, ce d'autant plus que les bâtiments sis sur la parcelle n° 84 sont protégés par une forêt au sud et à l'est des bâtiments. Les parcelles de la constructrice et celles de la recourante, compte tenu de l'autoroute qui passe au milieu, ne sont pas desservies par les mêmes voies d'accès et rien ne permet de penser que le trafic lié à l'exploitation viticole aura une incidence sur l'accès aux propriétés localisées dans le quartier du Chêne. De même, le bruit éventuellement généré par l'agrandissement de l'exploitation viticole ne saurait causer des nuisances perceptibles depuis l'un des bien-fonds de la recourante, l'autoroute située au milieu couvrant manifestement toute autre émission sonore. La recourante ne sera dès lors pas directement atteinte par la construction litigieuse, l'impact sur les propriétés de la recourante n'étant manifestement pas établi. Dans ces conditions, le recours doit être déclaré d'emblée irrecevable, pour défaut de qualité pour recourir.</w:t>
      </w:r>
    </w:p>
    <w:p>
      <w:r>
        <w:rPr>
          <w:b/>
        </w:rPr>
        <w:t>E. 2</w:t>
      </w:r>
    </w:p>
    <w:p>
      <w:r>
        <w:t>Succombant, la recourante doit payer l'émolument judiciaire, qui peut être réduit à 1'000 fr. pour tenir compte du fait que l'arrêt statue uniquement sur la question de la recevabilité du recours (art. 49 al. 1 LPA-VD; art. 1 et</w:t>
      </w:r>
    </w:p>
    <w:p>
      <w:r>
        <w:rPr>
          <w:b/>
        </w:rPr>
        <w:t>E. 4</w:t>
      </w:r>
    </w:p>
    <w:p>
      <w:r>
        <w:t>al. 1 du tarif des frais judiciaires et des dépens en matière administrative du 28 avril 2015 – TFJDA; BLV 173.36.5.1). L'autorité intimée communale et la constructrice, qui obtiennent gain de cause chacune avec le concours d'un avocat, ont droit à une indemnité à titre de dépens (art. 55 al. 1 LPA-VD; art. 10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