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AC.2021.0333 vom 9. September 2022</w:t>
      </w:r>
    </w:p>
    <w:p>
      <w:r>
        <w:t>VD Tribunal cantonal, 2022-09-09, FR</w:t>
      </w:r>
    </w:p>
    <w:p>
      <w:r>
        <w:rPr>
          <w:b/>
        </w:rPr>
        <w:t xml:space="preserve">Quelle: </w:t>
      </w:r>
      <w:r>
        <w:t>https://mcp.opencaselaw.ch/entscheid/vd_omni_AC.2021.0333</w:t>
      </w:r>
    </w:p>
    <w:p>
      <w:r>
        <w:t>FR: VD_OMNI AC.2021.0333 du 9 septembre 2022</w:t>
      </w:r>
    </w:p>
    <w:p>
      <w:r>
        <w:t>IT: VD_OMNI AC.2021.0333 del 9 settembre 2022</w:t>
      </w:r>
    </w:p>
    <w:p>
      <w:pPr>
        <w:pStyle w:val="Heading2"/>
      </w:pPr>
      <w:r>
        <w:t>Regeste</w:t>
      </w:r>
    </w:p>
    <w:p>
      <w:r>
        <w:t>A.________ /Municipalité de Lovatens, Direction générale de l'environnement DGE-DIREV, Direction générale du territoire et du logement, Direction générale des immeubles et du patrimoine, B.________ à R.________ | Refus de permis de construire une halle d'engraissement de volailles, pour des motifs d'esthétique. L’inscription d'un site à l’ISOS ne constitue pas, à elle seule, une modification des circonstances qui doit être qualifiée de sensible au sens de l'art. 21 al. 2 LAT (consid. 2). Conformité à la zone agricole. Les motifs esthétiques invoqués en application d'un règlement communal doivent être mis en balance avec les autres intérêts en présence (consid. 3). Admission du recours pour défaut de motivation. L'autorité municipale aurait dû fonder son refus sur des motifs spécifiques d'esthétique et en particulier préciser pour quelles raisons les diverses exigences formulées par la DGIP et intégrées dans le projet n'étaient pas suffisantes. La municipalité a également omis de mettre en balance l'esthétique avec la nécessité d'éviter le mitage du paysage (consid. 4b/aa). Elle n'a pas non plus examiné la question de la nécessité de la construction prévue pour l'exploitation du recourant, ni celle de la viabilité de l'entreprise (consid. 4b/bb). Examen, par souci d'économie de procédure, des objections en lien avec l'application de l'OPair et de l'OPB, qui se révèlent non pertinentes (consid.4c).</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a) Selon l'art. 95 LPA-VD, le délai de recours au Tribunal cantonal est de 30 jours dès la notification de la décision attaquée. Les délais fixés en jours commencent à courir le lendemain du jour de leur communication ou de l'événement qui les déclenche (art. 19 al. 1 LPA-VD). En l'espèce, la décision est datée du 23 septembre 2021. Il résulte du suivi des envois de La Poste que le recourant a retiré le pli recommandé contenant la décision attaquée le 27 septembre 2021. Le délai de recours a donc commencé à courir le lendemain 28 septembre 2021, si bien que le recours déposé le 26 octobre 2021 l'a été en temps utile. b) Le recours respecte les exigences légales de motivation (art. 76, 77 et 79 LPA-VD, par renvoi de l'art. 99 LPA-VD). Le recourant, destinataire de la décision attaquée, a qualité pour recourir au sens de l'art. 75 let. a LPA-VD, de sorte qu'il y a lieu d'entrer en matière.</w:t>
      </w:r>
    </w:p>
    <w:p>
      <w:r>
        <w:rPr>
          <w:b/>
        </w:rPr>
        <w:t>E. 2</w:t>
      </w:r>
    </w:p>
    <w:p>
      <w:r>
        <w:t>Les opposants font valoir qu’un contrôle préjudiciel du plan d'extension (plan d'affectation) communal serait rendu nécessaire par le fait que le village de Lovatens a été inscrit à l’ISOS en 2009, soit largement postérieurement à l’adoption du plan, qui date de 1980.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de la loi fédérale du 22 juin 1979 sur l’aménagement du territoire (LAT; RS 700) sont réunies (ATF 145 II 83 consid. 5.1; 144 II 41 consid. 5.1; 121 II 317 consid. 12c).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b) Les inventaires fédéraux prévus à l' art. 5 LPN – dont fait partie l'ISOS (art. 1 OISOS) – sont assimilés matériellement à des conceptions et à des plans sectoriels au sens de l' art. 13 al. 1 LAT . A ce titre, les cantons doivent en tenir compte, dans leur planification directrice (art.</w:t>
      </w:r>
    </w:p>
    <w:p>
      <w:r>
        <w:rPr>
          <w:b/>
        </w:rPr>
        <w:t>E. 6</w:t>
      </w:r>
    </w:p>
    <w:p>
      <w:r>
        <w:t>al. 4 LAT ). En raison de la force obligatoire des plans directeurs pour les autorités (art.</w:t>
      </w:r>
    </w:p>
    <w:p>
      <w:r>
        <w:rPr>
          <w:b/>
        </w:rPr>
        <w:t>E. 9</w:t>
      </w:r>
    </w:p>
    <w:p>
      <w:r>
        <w:t>LAT ), les conditions de protection figurant dans les inventaires fédéraux se retrouvent dans les plans d'affectation (art.</w:t>
      </w:r>
    </w:p>
    <w:p>
      <w:r>
        <w:rPr>
          <w:b/>
        </w:rPr>
        <w:t>E. 14</w:t>
      </w:r>
    </w:p>
    <w:p>
      <w:r>
        <w:t>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(ATF 135 II 209 consid. 2.1; arrêts TF 1C_334/2020 du 27 juillet 2021 consid. 4.1; 1C_180/2019 du 16 mars 2021 consid. 5.1; 1C_87/2019 du 11 juin 2020 consid. 3.1.2).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I, p. 295). Une atteinte demeure possible lorsqu'elle n'altère pas l'identité de l'objet protégé ni le but assigné à sa protection; celui-ci découle du contenu de la protection mentionné dans l'inventaire et les fiches qui l'accompagnent (ATF 145 II 176 consid. 3.1; TF 1C_334/2020 du 27 juillet 2021 consid. 4.1; 1C_87/2019 du 11 juin 2020 consid. 3.1.2; Largey, op. cit., p. 292; Jörg Leimbacher, in Commentaire LPN, 2 e éd. 2019, n° 5 ss ad art.  6 LPN ). Cela étant, l’inscription d'un site à l’ISOS ne constitue pas, à elle seule, une modification des circonstances qui doit être qualifiée, au stade de la première étape, de sensible au sens de l' art. 21 al. 2 LAT (cf. AC.2021.0328 du 21 avril 2022 consid. 3). Si, dans un arrêt récent concernant un projet de construction dans le village de Lignerolle, inscrit à l'inventaire ISOS, le Tribunal fédéral a considéré qu'un examen incident du plan d'affectation communal entré en vigueur en 1995 (avant l'inscription à l'ISOS) se justifiait, cela était dû des circonstances particulières, à savoir que, sur le terrain litigieux – un " espace vert intérieur agrémenté de vergers " constituant une caractéristique essentielle du site, avec un objectif de sauvegarde maximum –, " toute délivrance d'autorisation de construire altérera[it] inévitablement les caractéristiques du site " (TF 1C_87/2019 du 11 juin 2020 consid. 3.1.2). En l'espèce, comme cela a été reconnu par la DGIP, le projet n'entraîne pas d'altération des caractéristiques du site et est compatible avec l'objectif ISOS de sauvegarde du caractère du village. Cet objectif peut être atteint par une application adéquate des règles de la LAT et de la LATC, comme l'a expliqué en détail la DGIP dans le cadre de la présente procédure. Il n'y a pas lieu que la CDAP revoie l'appréciation de la DGIP qui est documentée. La situation n'est pas comparable avec le cas susmentionné et les conditions pour un contrôle préjudiciel du plan d'affectation – lequel doit rester exceptionnel, d'après la jurisprudence précitée – ne sont pas réunies. c) Dans sa réponse du 15 décembre 2021, l'autorité intimée a invoqué l'art. 47 LATC au motif que le règlement communal, en cours de révision, ne tient pas encore compte de l'ISOS et que le projet litigieux, bien que conforme, compromettrait les modifications envisagées, à savoir notamment la protection de la silhouette du village par l'institution d'une zone agricole protégée. L'autorité intimée n'a pas donné plus de détails sur la procédure de révision en cours. Le recours devant être admis pour les motifs exposés ci-après et le projet devant faire l'objet d'une nouvelle évaluation, l'autorité intimée devra à ce moment se prononcer à nouveau sur l'applicabilité de l'art. 47 LATC. Il n'y a pas lieu à ce stade d'examiner si c'est à juste titre que l'autorité intimée s'est prévalue de ce grief. 3. a) Aux termes de l'art. 22 LAT, aucune construction ou installation ne peut être créée ou transformée sans autorisation de l’autorité compétente (al. 1). L’autorisation est délivrée si (al. 2) la construction ou l’installation est conforme à l’affectation de la zone (let. a) et si le terrain est équipé (let. b). Le droit fédéral et le droit cantonal peuvent poser d’autres conditions (al. 3). En vertu de l'art. 16a al. 1 LAT, sont conformes à l'affectation de la zone agricole les constructions et installations qui sont nécessaires à l'exploitation agricole. L'art. 34 al. 1 OAT amène les précisions suivantes: "1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 2 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 son caractère agricole ou horticole. 3 Sont enfin conformes à l’affectation de la zone les constructions qui servent au logement indispensable à l’entreprise agricole, y compris le logement destiné à la gé­nération qui prend sa retraite. 4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5 Les constructions et installations qui servent à l'agriculture pratiquée en tant que loisir ne sont pas réputés conformes à l'affectation de la zone agricole." b) Il ressort de l'art. 16a LAT qu'en zone agricole la conformité est liée à la nécessité. Il y a lieu, selon la jurisprudence, de limiter les constructions nouvelles à celles qui sont réellement indispensables à l'exploitation afin de garantir que la zone agricole demeure libre de constructions (ATF 133 II 370 consid. 4.2; 129 II 413 consid. 3.2; TF 1C_496/2015 du 23 septembre 2016 consid. 3.1.1).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ATF 133 II 370 consid. 4.2; 129 II 413 consid. 3.2 et les références citées; 121 II 67 consid. 3a; TF 1C_50/2020 du 8 octobre 2020 consid. 7.1.1 ; AC.2017.0280 du 14 janvier 2019 consid. 3). c) Pour tous les projets de construction situés hors de la zone à bâtir, l'autorité cantonale compétente décide si ceux-ci sont conformes à l'affectation de la zone ou si une dérogation peut être accordée (art. 25 al. 2 LAT). Dans le canton de Vaud, cette compétence revient à la DGTL (art. 4 al. 3 let. a LATC). La municipalité ne peut pas, sans autorisation spéciale de l'autorité cantonale, octroyer un permis de construire. Ainsi, l a commune et les services cantonaux compétents disposent, en matière de constructions en zone agricole conformes à une telle affectation, de compétences parallèles sur les questions de police des constructions, de préservation du paysage, d'intégration et d'esthétique. D'une part, les services cantonaux compétents doivent tenir compte de ces points dans l'application des art. 34 al. 4 OAT et 3 al. 2 let. b LAT. D'autre part, même si l'autorisation spéciale a été délivrée, l'autorité communale reste habilitée, au nom de l'autonomie dont elle dispose dans ce domaine, à refuser un permis de construire pour un motif fondé sur la clause générale d'esthétique de l'art. 86 LATC ou sur son droit communal reposant sur cette disposition, pour peu que sa position repose sur une appréciation soutenable des circonstances pertinentes et ne contrevienne pas au droit supérieur. Aussi, une autorité communale ne saurait-elle priver de toute p ortée les art. 16, 16a LAT et 34 OAT (cf. TF 1C_80/2015 du 22 décembre 2015 consid. 2.3 i.f . et consid. 2.4.2 i.f. ; à l'intérieur de la zone à bâtir, cf. ATF 115 Ia 114 consid. 3). Partant, si des aspects d'ordre esthétique peuvent certes conduire à l'annulation d'un projet, la municipalité ne peut s'abriter derrière de tels motifs pour interdire systématiquement toute réalisation similaire dans sa zone agricole, au préjudice des conditions fixées par le droit fédéral, notamment s'agissant du caractère nécessaire à l'exploitation agricole (art. 16a LAT et 34 OAT), et de la possibilité de prévoir des mesures d'aménagement garantissant néanmoins une bonne intégration. Les motifs esthétiques invoqués en application d'un règlement communal à l'appui du refus d'un projet doivent être mis en balance avec les autres intérêts en présence, en application de l'art. 34 al. 4 OAT (TF 1C_401/2018 du 24 septembre 2019 consid. 2.1 et la référence ; 1C_96/2018 du 11 octobre 2018 consid. 3.4.1 et les arrêts cités; pour un exemple récent de pesée des intérêts détaillée, cf. AC.2019.0113 du 4 février 2020 ). La pesée des intérêts comprend la détermination de tous les intérêts, publics et privés, touchés par le projet, et doit être motivée (cf. art. 3 al. 1 let. a et al. 2 OAT). Il s'agit en premier lieu des intérêts poursuivis par la LAT elle-même (cf. notamment la préservation des terres cultivables, l'intégration des constructions dans le paysage, la protection des rives, des sites naturels et des forêts). En particulier, vu l'important intérêt public à éviter la dispersion des constructions, les bâtiments et installations doivent être regroupés autant que possible ( Konzentrationsprinzip ; ATF 141 II 50 consid. 2.5; TF 1C_58/2017 du 18 octobre 2018 consid. 5.4 et les références citées). Il y a également lieu de tenir compte de l'intérêt public visant à favoriser une agriculture indigène suffisante et de qualité, l'un des buts de la loi sur l'aménagement du territoire étant de garantir des sources d'approvisionnement suffisantes dans le pays (art. 1 al. 2 let. d LAT; cf. AC.2018.0398 du 29 septembre 2020 consid. 4). La pesée des intérêts doit en outre comprendre les autres intérêts protégés dans les lois spéciales, telles que la loi sur la protection de l'environnement, la LPN, la loi sur les forêts, l'OPB ou l'OPair (cf. ATF 134 II 97 consid. 3.1; 129 II 63 consid. 3.1; TF 1C_96/2018 du 11 octobre 2018 consid. 3.3.1; AC.2018.0132 du 16 mai 2019 consid. 5; Alexander Ruch / Rudolf Muggli, in : Commentaire pratique LAT: Construire hors zone à bâtir, 2017, n° 56 ad art. 16a LAT). d) aa) Au niveau fédéral, l'art. 3 LAT prévoit à titre de principes dont les autorités chargées de l'aménagement du territoire doivent tenir compte (al. 1) notamment la préservation du paysage; en particulier, il convient dans ce cadre de veiller à ce que les constructions prises isolément ou dans leur ensemble ainsi que les installations s’intègrent dans le paysage (al. 2 let. b). bb) Au niveau cantonal, il résulte de l'art. 86 LATC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83 RLATC dispose que les constructions et installations agricoles doivent s'intégrer dans le paysage, la bonne intégration dépendant notamment du choix de leur implantation, de leur volume, des matériaux et des teintes utilisées (al. 1); en outre, un nouveau bâtiment doit en principe être regroupé avec les bâtiments déjà existants et former un ensemble architectural (al. 3). cc) Au plan communal, l'art. 29 RPGA définit la clause d'esthétique (dans le cadre du chapitre consacré aux règles applicable à toutes les zones), comme suit: "La Municipalité peut prendre toute mesure pour éviter l'enlaidissement du territoire communal. Les entrepôts et dépôts, ouverts à la vue du public, sont interdits. La Municipalité peut exiger la plantation d'arbres, de groupes d'arbres ou de haies, pour masquer les installations existantes. Elle peut en fixer les essences.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dd) Selon la jurisprudence, une construction ou une installation s'intègre dans l'environnement lorsque son implantation et ses dimensions n'affectent ni les caractéristiques ni l'équilibre du site et que, par sa forme et les matériaux utilisés, elle en respecte l'originalité (TF 1C_520/2012 du 30 juillet 2013 consid. 2.2). Pour qu'un projet puisse être refusé sur la base de l'art. 3 al. 2 let. b LAT, il doit porter une atteinte grave à un paysage d'une valeur particulière (TF 1C_643/2018 du 30 septembre 2019 consid. 4.1.1 et les références). L'application d'une clause d'esthétique ne doit en effet pas aboutir à ce que, de façon générale, la réglementation sur les zones en vigueur soit vidée de sa substance.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(TF 1C_521/2018 du 3 septembre 2019 consid. 4.1.2 et les références). En matière d'esthétique des constructions, l'autorité communale, qui apprécie les circonstances locales en vue de l'octroi d'une autorisation de construire, bénéficie d'une liberté d'appréciation particulière, que l'autorité de recours contrôle avec retenue (cf. art. 2 al. 3 LAT). L'autorité de recours peut s'écarter de la solution communale si elle procède d'un excès du pouvoir d'appréciation conféré à la commune par les dispositions applicables.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(ATF 145 I 52 consid. 3.6; TF 1C_360/2018 du 9 mai 2019 consid. 4.1.3 et les références). 4. a) En l'espèce, l'autorité intimée fait valoir que le projet litigieux contreviendrait aux exigences d'intégration et d'esthétique. Elle estime que le projet mis à l'enquête porterait une atteinte sensible à la silhouette du village, en raison de son implantation sur la partie de la parcelle n° 75 la plus proéminente et la plus proche des premiers bâtiments villageois. L'implantation projetée mettrait en péril les qualités spatiales qui confèrent au village sa silhouette exceptionnelle, dont la valeur est due précisément au fait que son environnement alentour est demeuré intact et libre de constructions. Le lien très fort entre le bâti et le non-bâti s'en trouverait notablement péjoré. L'autorité intimée indique qu'elle n'est pas opposée par principe à la réalisation d'un tel projet, mais elle préconise l'étude d'une autre implantation, par exemple en partie nord de la parcelle° 75, plus éloignée du village et où le terrain forme une dépression. Cette motivation est critiquable à deux égards, qui seront examinés ci-après. b) aa) Tout d'abord, la motivation n'est pas suffisamment étayée. Une argumentation solide était pourtant indispensable en l'occurrence, sachant que la préservation du site de Lovatens avait été examinée et validée au niveau cantonal sous l'angle de l'ISOS. Dans la synthèse CAMAC, la DGIP indique en effet ce qui suit: "(...) Développement du projet : Le présent projet a été soumis pour préavis en mai 2020 à la DGIP-MS laquelle a formulé certaines remarques pour assurer l'intégration de la nouvelle construction et des aménagements extérieurs. Examen du projet : Construction d'une halle d'engraissement de volaille. Il est tout d'abord constaté que la parcelle n'est pas protégée au sens de la LPNMS, ni en abords d'un bâtiment protégé. Les seuls aspects patrimoniaux pris en considération ici sont l'application de l'ISOS. Comme le stipule l'art. 11 de l'OISOS, l'ISOS doit être pris en compte par le canton et les communes dans l'établissement de leur plan directeur et de leur planification. Néanmoins, les recommandations d'application de l'ISOS pour un site de protection (a) sont les suivantes: zone non constructible prescriptions strictes pour les constructions dont la destination impose l'implantation prescriptions particulières pour les transformations de constructions anciennes Considérant que la parcelle 75 est sise en zone agricole, la construction ressort donc d'une construction dont la destination est imposée par son implantation. Elle devrait donc être soumise à des conditions strictes. Ces conditions ont été transmises par la DGIP dans son analyse préalable en 2020. Les remarques touchaient à la fois aux aménagements extérieurs, à l'intégration dans le site de la construction et aux matériaux et teintes des toitures et façades. En l'occurrence, il est constaté que le présent projet déposé à l'enquête a répondu aux demandes alors formulées par la DGIP. L'on peut cependant encore noter que: l'implantation des arbres au nord et à l'est diminue l'impact des vues hautes. Cependant, la plantation de haies vives, de préférence d'essence indigène, calmerait également la partie inférieure, soit la zone des troncs des arbres hautes tiges, par exemple entre route et arbre au nord. les vues sud-est vers nord-ouest ne sont pas prises en compte dans les aménagements extérieurs. Or, les différents chemins agricoles offrent une vue dégagée privilégiée vers Lucens et la vallée de la Broye. Cet axe paysager pourrait également être tempéré par une haie vive, de préférence d'essence indigène (ne serait-ce qu'une rangée simple pour limiter l'emprise de celle-ci au sol et la luminosité). Concernant les parties minéralisées, il est constaté que le projet en minimise l'étendue étant donné son implantation, de même que les matériaux sont inspirés des teintes du village de Lovatens (façade bois et couleur bois pour les parties non ligneuses et toiture de teinte s'approchant des petites tuiles rouge naturel). Conclusion : La DGIP-MS constate que la réalisation de ce projet ne porterait pas atteinte au site ISOS pour autant que soient observés les points ci-dessus. Elle préavise positivement à sa réalisation et à la délivrance des autorisations requises. La protection de ce patrimoine local relève cependant de la compétence et de la responsabilité de l'autorité communale qui peut intégrer le présent préavis dans l'autorisation de construire." Interpellée dans le cadre de l'instruction du présent recours, la DGIP a, dans sa détermination du 2 décembre 2021, souligné qu'elle avait estimé le projet recevable sous - l'angle de l'ISOS et qu'elle avait assorti son préavis de remarques complémentaires afin de signifier certaines améliorations encore possibles. Le 13 avril 2022, elle a répété que la parcelle litigieuse n'était pas protégée au sens de la LPNMS et ne se situait pas aux abords d'un bâtiment protégé. Elle estimait dès lors qu'il n'existait pas d'altération sensible d'un objet protégé au sens de l'art. 7 LPN et qu'une expertise de la CFMH n'était pas nécessaire. Au vu de ces prises de position détaillées de l'autorité cantonale, il aurait appartenu à l'autorité municipale de fonder son refus sur des motifs spécifiques d'esthétique et en particulier de préciser pour quelles raisons les diverses exigences formulées par la DGIP et intégrées dans le projet n'étaient à son avis pas suffisantes. De plus, la DGIP a proposé des recommandations supplémentaires que l'autorité municipale aurait pu imposer au recourant. Or la décision attaquée ne se prononce aucunement sur ces propositions, alors qu'elles auraient peut-être pu constituer une alternative au refus de permis. L'autorité intimée aurait à tout le moins pu indiquer en quoi ces propositions ne permettaient pas une intégration adéquate de la construction dans son environnement. Certes, en transmettant ses préavis à la DGTL, l'autorité intimée a demandé que des variantes soient étudiées. Toutefois cette demande ne s'accompagnait d'aucune explication, les précisions n'étant apparues qu'au moment de la décision de refus. En particulier, la municipalité n'a jamais mentionné qu'elle refuserait le permis en l'absence de variantes; au contraire, elle a toujours préavisé favorablement le projet avant de transmettre le dossier à la DGTL. On peut aussi se demander pourquoi la municipalité n'a jamais adressé cette demande au constructeur. Enfin, il ressort du dossier que le constructeur a déjà modifié son projet afin de préserver les intérêts de ses voisins, ce dont l'autorité municipale n'a apparemment pas tenu compte. En second lieu, l'autorité intimée a omis de mettre en balance l'esthétique avec les autres intérêts en présence; elle n'a en particulier pas pris en considération les impératifs de l'aménagement du territoire, plus spécialement la nécessité d'éviter le mitage du paysage. Or la DGTL avait procédé de manière détaillée à cet examen dans la synthèse CAMAC du 28 juillet 2021. Elle y relevait ce qui suit: "Lors de tout nouveau projet agricole, il convient de chercher à regrouper les constructions et installations agricoles conformément aux dispositions légales (art. 83 RLATC). Il est également nécessaire d'éviter un mitage du territoire, au sens des dispositions de la loi fédérale sur l'aménagement du territoire (art. 1 et 3 LAT). Dans le cas présent et comme relevé en 2016, le centre d'exploitation étant situé au village (parcelle n° 34 / route de Minerve 10), l'implantation d'une halle sur ce site n'est pas possible. De sorte que l'implantation de cette halle à poulets hors des zones à bâtir de la commune se justifie. Dans le cas d'espèce, il est prévu d'implanter la nouvelle halle sur la parcelle n° 75. Ce bien-fonds se situe en prolongation du village à une distance d'environ 220 mètres des premiers bâtiments. A relever que la parcelle n° 80 initialement envisagée lors du projet de 2016, qui était plus proche du village, a été abandonnée. En effet, le bâtiment aujourd'hui projeté est d'une plus grande longueur. De sorte que la distance selon l'Ordonnance sur la protection de l'air (OPair) - entre la future halle et les bâtiments d'habitation les plus proches - serait aujourd'hui difficilement respectée. Au vu de la proximité relative de la zone à bâtir, on peut considérer que le site d'implantation retenu permet d'éviter un mitage du territoire et un dispersement trop important des constructions (art. 1 et 3 LAT). De sorte que le site retenu est jugé comme satisfaisant. Néanmoins et tenant compte que la halle se situe proche de la route d'accès au village, il a été exigé lors de l'analyse préalable du projet qu'un soin particulier soit porté à l'orientation du bâtiment et à son intégration dans le paysage (cf. point 4). En outre, la halle n'étant pas regroupée à des bâtiments d'exploitation et le village de Lovatens étant d'intérêt national au sens de l'Inventaire fédéral des sites construits d'importance nationale à protéger en Suisse (ISOS), une mention sera inscrite au Registre foncier par notre direction (cf. points 5 et 7)." L'autorité intimée, qui demande que l'étude d'une variante plus éloignée du village soit étudiée, sans aucunement analyser la problématique du mitage du paysage, ne peut pas être suivie. Il apparaît qu'à cet égard elle n'a pas effectué correctement la balance des intérêts qui lui incombait. Il y a donc lieu d'annuler la décision pour ce motif déjà. bb) L'autorité intimée a également omis d'examiner la question de la nécessité de la construction prévue pour l'exploitation agricole du recourant. Force est de constater que, en l'occurrence, on ignore la nature et l'étendue du besoin agricole objectif justifiant le projet litigieux. La question de la viabilité de l'entreprise n'a pas non plus été examinée, alors que cette question est déterminante (art. 34 al. 4 let. a et let . c OAT; cf. Ruch / Muggli, op. cit., n. 45 ad art. 16a LAT ). Le dossier de la cause ne contient à cet égard qu'un préavis de la DGAV du 18 mai 2020, formulé comme suit et repris dans la synthèse CAMAC: "Sur la base des éléments portés à sa connaissance, la DAGRI constate que: 1. Projet: Construction d'une halle de 16'500 poulets à l'engraissement sur la parcelle 75. 2. Situation: Le projet est lié à une exploitation agricole reconnue au sens de l'OTerm (5674.0013) dont l'exploitant est M. A.________ à Lovatens. Cette exploitation, d'une surface agricole utile totale de 32.32 hectares, se consacre aux grandes cultures et aux cultures fourragères. 3. Analyse agronomique: Les besoins sont justifiés pour la halle à poulets. L'exploitant souhaite diversifier ses activités en développant la production de poulets de chair. Le potentiel de production couvrira plus de 70% des besoins en matière sèche. Le cadre du développement interne est donc respecté. 4. Viabilité à long terme: Confirmée. En conclusion, la DAGRI préavise favorablement ce projet lié à une exploitation agricole." Ce préavis confirme certes la nécessité de l'installation, sans toutefois fournir d'indications étayées permettant d'en examiner le bien-fondé. On ne trouve en particulier pas de rapport chiffré confirmant la viabilité à long terme du projet, ce qui ne permet pas de procéder à la pondération exigée par le droit fédéral (cf. ATF 133 II 370 consid. 5 p. 378; TF 1C_96/2018 du 11 octobre 2018 consid. 3.4.1; 1C_517/2014 du 9 mars 2016 consid. 4). En l'absence de ces informations déterminantes, l'autorité ne pouvait pas procéder à l'examen prescrit par le droit fédéral. En définitive, au vu des considérants qui précèdent, force est de constater que l'autorité intimée a statué sur la base d'un dossier incomplet et qu'elle n'a pas réalisé une balance des intérêts conforme aux exigences légales. Il convient ainsi d'admettre le recours. L'admission du recours entraîne l'annulation de la décision attaquée et le renvoi de la cause à la municipalité pour nouvelle décision sur la demande de permis de construire, après avoir requis de la DGAV qu'elle complète le préavis figurant dans la synthèse CAMAC. Il appartiendra à l'autorité intimée de notifier aux opposants le préavis complété de la DGAV en les invitant à se déterminer, puis de rendre une nouvelle décision procédant à une pesée de l'ensemble des intérêts en présence. c) Bien que le recours doive être admis pour les raisons exposées ci-avant, il convient encore, par souci d'économie de procédure, d'examiner les objections soulevées par l'autorité intimée et les opposants en lien avec l'application de l'OPair et de l'OPB. aa) La Direction de l'environnement industriel, urbain et rural, Division Air, climat et risques technologiques (DGE/DIREV/ARC) a préavisé favorablement au projet, en précisant que son exécution devra respecter notamment les conditions impératives ci-dessous: "(...) Installations destinées à la détention d'animaux Émissions d'odeurs Pour toute nouvelle construction ou transformation relativement importante, la Direction générale de l'environnement, Division Air, climat et risques technologiques (DGE/DIREV-ARC) est l'autorité compétente pour ce qui concerne l'application de l'Ordonnance fédérale sur la protection de l'air (OPair). Une des dispositions importantes de l'OPair est la protection du voisinage contre des atteintes nuisibles ou incommodantes. Les odeurs liées à la détention d'animaux sont considérées comme incommodantes et à ce titre l'OPair contient des dispositions spécifiques au chiffre 51 de l'annexe 2. Il s'agit principalement de respecter une certaine distance (appelée distance minimale) entre les animaux, leur zone de détention et les habitations ou zones d'habitation les plus proches. Le calcul de la distance minimale requise pour le cas soumis à la présente procédure d'autorisation est basé sur les recommandations fédérales intitulées "Distances minimales à observer pour les installations d'élevage d'animaux / Recommandations pour de nouvelles constructions et des exploitations existantes". Voir à ce sujet le rapport FAT No 476 publié par la Station fédérale de recherches d'économie d'entreprise et de génie rural, 8356 Tänikon (tél. 052 368 31 31). Type d'installation: halle d'engraissement de volailles (115.5UEO) Distance minimale: 67 mètres des habitations situées hors zone; Point d'origine pour la mesure de la distance minimale: ouvertures qui font face au voisinage ou limite de l'aire de promenade. A l'intérieur du périmètre ainsi déterminé, il ne doit pas y avoir d'habitations autres que celles directement liées à l'exploitation. Autres mesures préventives pour limiter la gêne au voisinage: Assurer une bonne dispersion des odeurs, soit une ventilation et une évacuation d'air vicié convenable; Une bonne exploitation des volumes de fosses à purin ou de fumières, pour pouvoir choisir un moment d'évacuation favorable; Le choix de conditions météorologiques propices pour les vidanges et évacuations. Éviter les temps lourds et les directions de vent défavorables; Informer les voisins sis en bordure de la zone d'épandage et choisir des jours de début de semaine, plutôt que la veille de week-ends ou de jours fériés. Le respect des mesures relevées ci-dessus permet en règle générale d'éviter les problèmes de voisinage. Toutefois, en cas de plaintes fondées, des mesures complémentaires pourraient être prescrites. Le dossier qui fait l'objet de la demande d'autorisation respecte les exigences constructives relevées ci-dessus, le préavis pour ce qui concerne la protection de l'air est donc favorable. Fosse à purin fermée Une fosse à purin est considérée comme une installation, au sens de l'article 2 OPair et de ce fait elle ne doit pas conduire à des immissions excessives. Pour cela, elle doit être "fermée", soit couverte selon l'état actuel de la technique. La Municipalité est chargée de vérifier si la fosse est bien munie d'une couverture adéquate avant de délivrer le permis d'utiliser (LATC). L'expérience montre que les fosses à purin bien gérées ne conduisent en général pas à des plaintes qui indiquent que les émissions d'odeurs sont excessives. La fréquence des soutirages et des brassages, ainsi que l'aspect visuel sont d'une importance fondamentale dans l'appréciation du problème. Lors de ces opérations, les émissions d'odeurs peuvent être incommodantes. Pour éviter qu'elles ne soient jugées excessives, il faut prendre à titre préventif un certain nombre de précautions. Mesures passives: Entretenir correctement un écran de protection visuel (végétal ou fixe). Mesures actives: Choix de conditions météorologiques propices pour les vidanges et évacuations. Éviter les temps lourds et les directions de vent défavorables; Bonne exploitation du volume des fosses à purin ou des fumières, pour pouvoir choisir le moment d'évacuation favorable; Informer les voisins sis en bordure de la zone d'épandage et choisir des jours de début de semaine, plutôt que la veille de week-ends ou de jours fériés. Le respect des mesures relevées ci-dessus permet en règle générale d'éviter les problèmes de voisinage. Toutefois, en cas de plaintes fondées, des mesures complémentaires pourraient être prescrites. Oppositions Notre préavis du 7 mai 2021 reste inchangé malgré les oppositions reçues." Dans la décision attaquée, l'autorité intimée mentionne, sans lui donner de portée, la question du respect du droit de l'environnement, en évoquant l'éventuelle mise en oeuvre d'une expertise météorologique en lien avec l'influence de vents dominants ou fréquents, qui pourraient conduire à augmenter la distance minimale aux premières habitations. L'instruction de la présente cause a permis d'établir que les exigences posées par l'OPair sont remplies et que le projet est conforme à la législation environnementale, même selon les règles d'évaluation les plus récentes (à savoir selon les recommandations d'Agroscope; voir au surplus l'écriture de la DGE du 22 février 2022). Dans ces conditions, le risque de nuisances olfactives ne saurait se voir reconnaître d'incidence dans le cadre de la pesée des intérêts à laquelle il conviendra que l'autorité intimée procède en application de l'art. 34 al. 4 let. b OAT, après avoir complété l'état de fait. bb) Pour ce qui concerne les questions de bruit, les opposants F.________ et G.________ estiment que l'exploitation prévue générera un va-et-vient de camions pour amener les poussins, respectivement emporter les volailles à l'abattoir, qui engendrera des nuisances sonores. Il y a lieu de relever que les opposants ne documentent pas leur grief. On ne voit ainsi pas sur quelle base ils envisagent plusieurs mouvements journaliers. Au demeurant, même s'il s'agissait de dix mouvements journaliers, ce qui est peu probable pour une seule halle d'élevage, ce serait non relevant, même pour une route à faible trafic. Il ressort d'ailleurs de la synthèse CAMAC que les seuls bruits analysés sont les bruits des installations techniques et les bruits de chantier. Il apparaît ainsi que le trafic induit par la nouvelle construction n'est a priori pas pertinent. Au vu de l'issue du recours, il n'y a toutefois pas lieu d'examiner plus en détail cette question. 5. Tant le recourant que l'autorité intimée ont sollicité la tenue d'une inspection locale. a) Le droit d’être entendu, tel qu'il est garanti à l'art. 29 al. 2 de la Constitution fédérale de la Confédération suisse du 18 avril 1999 (Cst.; RS 101) et à l'art. 27 al. 2 de la Constitution du Canton de Vaud du 14 avril 2003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TF 1C_638/2020 du 17 juin 2021 consid. 2.1; 1C_576/2020 du 1 er avril 2021 consid. 3.1). b) En l'espèce, le recours doit être admis en raison de la motivation insuffisante de la décision attaquée et du caractère incomplet du dossier. Une inspection locale tendant à évaluer la bonne intégration du bâtiment projet dans le site s'avère ainsi inutile. 6. Il résulte des considérants qui précèdent que le recours doit être admis, la décision annulée et le dossier renvoyé à la municipalité pour nouvel examen.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notamment AC.2020.0263 du 18 novembre 2021 consid. 10 et les références citées). Ainsi, dans le cas d'espèce, les frais de justice seront mis à la charge des opposants, qui succombent. Le recourant ayant procédé avec l'assistance d'un mandataire professionnel (ce qui est le cas de la FRV, cf. en dernier lieu AC.2021.0220 du 9 avril 2022) , il a droit à des dépens (art. 55, 91 et 99 LPA-VD; art. 10 du tarif des frais judiciaires et des dépens en matière administrative du 28 avril 2015 [TFJDA; BLV 173.36.5.1]). Tel n'est pas le cas de la commune et des opposants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